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03" w:rsidRPr="00D2227F" w:rsidRDefault="00EE394C" w:rsidP="00BA3337">
      <w:pPr>
        <w:pStyle w:val="Naslov1"/>
        <w:jc w:val="center"/>
        <w:rPr>
          <w:color w:val="auto"/>
        </w:rPr>
      </w:pPr>
      <w:r>
        <w:rPr>
          <w:noProof/>
          <w:color w:val="auto"/>
          <w:lang w:eastAsia="hr-HR"/>
        </w:rPr>
        <w:drawing>
          <wp:inline distT="0" distB="0" distL="0" distR="0">
            <wp:extent cx="5760720" cy="3566795"/>
            <wp:effectExtent l="19050" t="0" r="0" b="0"/>
            <wp:docPr id="1" name="Picture 0" descr="referent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tna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602" w:rsidRPr="00D2227F">
        <w:rPr>
          <w:color w:val="auto"/>
        </w:rPr>
        <w:t>BILJEŠKE UZ FINANCIJSKA IZVJEŠĆA</w:t>
      </w:r>
    </w:p>
    <w:p w:rsidR="000E3FE6" w:rsidRPr="000E3FE6" w:rsidRDefault="000E3FE6" w:rsidP="003C4430">
      <w:pPr>
        <w:spacing w:after="0"/>
        <w:jc w:val="both"/>
        <w:rPr>
          <w:b/>
          <w:bCs/>
          <w:szCs w:val="24"/>
        </w:rPr>
      </w:pPr>
      <w:r w:rsidRPr="000E3FE6">
        <w:rPr>
          <w:b/>
          <w:bCs/>
          <w:szCs w:val="24"/>
        </w:rPr>
        <w:t>Zakonski okvir</w:t>
      </w:r>
    </w:p>
    <w:p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Zakon o prorač</w:t>
      </w:r>
      <w:r w:rsidR="00AA63B6">
        <w:rPr>
          <w:szCs w:val="24"/>
        </w:rPr>
        <w:t>u</w:t>
      </w:r>
      <w:r w:rsidRPr="000E3FE6">
        <w:rPr>
          <w:szCs w:val="24"/>
        </w:rPr>
        <w:t>nu (Nar</w:t>
      </w:r>
      <w:r w:rsidR="00F15AF0">
        <w:rPr>
          <w:szCs w:val="24"/>
        </w:rPr>
        <w:t>odne novine, br. 87/08, 136/12 ,</w:t>
      </w:r>
      <w:r w:rsidRPr="000E3FE6">
        <w:rPr>
          <w:szCs w:val="24"/>
        </w:rPr>
        <w:t xml:space="preserve"> 15/15</w:t>
      </w:r>
      <w:r w:rsidR="00F15AF0">
        <w:rPr>
          <w:szCs w:val="24"/>
        </w:rPr>
        <w:t xml:space="preserve"> i 144/21</w:t>
      </w:r>
      <w:r w:rsidRPr="000E3FE6">
        <w:rPr>
          <w:szCs w:val="24"/>
        </w:rPr>
        <w:t>)</w:t>
      </w:r>
    </w:p>
    <w:p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Zakon o izvršavanju Državnog proračuna Republike Hrvatske za 20</w:t>
      </w:r>
      <w:r w:rsidR="00636FCD">
        <w:rPr>
          <w:szCs w:val="24"/>
        </w:rPr>
        <w:t>20</w:t>
      </w:r>
      <w:r w:rsidRPr="000E3FE6">
        <w:rPr>
          <w:szCs w:val="24"/>
        </w:rPr>
        <w:t xml:space="preserve">.g. </w:t>
      </w:r>
      <w:bookmarkStart w:id="0" w:name="OLE_LINK3"/>
      <w:r w:rsidRPr="000E3FE6">
        <w:rPr>
          <w:szCs w:val="24"/>
        </w:rPr>
        <w:t>(Narodne novine, br.</w:t>
      </w:r>
      <w:bookmarkEnd w:id="0"/>
      <w:r w:rsidRPr="000E3FE6">
        <w:rPr>
          <w:szCs w:val="24"/>
        </w:rPr>
        <w:t xml:space="preserve"> 11</w:t>
      </w:r>
      <w:r w:rsidR="00636FCD">
        <w:rPr>
          <w:szCs w:val="24"/>
        </w:rPr>
        <w:t>7</w:t>
      </w:r>
      <w:r w:rsidRPr="000E3FE6">
        <w:rPr>
          <w:szCs w:val="24"/>
        </w:rPr>
        <w:t>/1</w:t>
      </w:r>
      <w:r w:rsidR="00636FCD">
        <w:rPr>
          <w:szCs w:val="24"/>
        </w:rPr>
        <w:t>9, 32/20, 42/20</w:t>
      </w:r>
      <w:r w:rsidRPr="000E3FE6">
        <w:rPr>
          <w:szCs w:val="24"/>
        </w:rPr>
        <w:t xml:space="preserve"> i 1</w:t>
      </w:r>
      <w:r w:rsidR="00636FCD">
        <w:rPr>
          <w:szCs w:val="24"/>
        </w:rPr>
        <w:t>24</w:t>
      </w:r>
      <w:r w:rsidRPr="000E3FE6">
        <w:rPr>
          <w:szCs w:val="24"/>
        </w:rPr>
        <w:t>/</w:t>
      </w:r>
      <w:r w:rsidR="00636FCD">
        <w:rPr>
          <w:szCs w:val="24"/>
        </w:rPr>
        <w:t>20</w:t>
      </w:r>
      <w:r w:rsidRPr="000E3FE6">
        <w:rPr>
          <w:szCs w:val="24"/>
        </w:rPr>
        <w:t>)</w:t>
      </w:r>
    </w:p>
    <w:p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proračunskom računovodstvu i računskom planu (Narodne novine, br. 124/14, 115/15</w:t>
      </w:r>
      <w:r w:rsidR="00636FCD">
        <w:rPr>
          <w:szCs w:val="24"/>
        </w:rPr>
        <w:t xml:space="preserve">, </w:t>
      </w:r>
      <w:r w:rsidRPr="000E3FE6">
        <w:rPr>
          <w:szCs w:val="24"/>
        </w:rPr>
        <w:t>87/16</w:t>
      </w:r>
      <w:r w:rsidR="00636FCD">
        <w:rPr>
          <w:szCs w:val="24"/>
        </w:rPr>
        <w:t>, 3/18, 126/19</w:t>
      </w:r>
      <w:r w:rsidR="000804DC">
        <w:rPr>
          <w:szCs w:val="24"/>
        </w:rPr>
        <w:t>, 108/20</w:t>
      </w:r>
      <w:r w:rsidR="00F971E5">
        <w:rPr>
          <w:szCs w:val="24"/>
        </w:rPr>
        <w:t>, 140/21</w:t>
      </w:r>
      <w:r w:rsidRPr="000E3FE6">
        <w:rPr>
          <w:szCs w:val="24"/>
        </w:rPr>
        <w:t>)</w:t>
      </w:r>
    </w:p>
    <w:p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financijskom izvještavanju u proračunskom računovodstvu (Narodne novine, br. 3/15, 93/15, 135/15, 2/17</w:t>
      </w:r>
      <w:r w:rsidR="00636FCD">
        <w:rPr>
          <w:szCs w:val="24"/>
        </w:rPr>
        <w:t>,</w:t>
      </w:r>
      <w:r w:rsidRPr="000E3FE6">
        <w:rPr>
          <w:szCs w:val="24"/>
        </w:rPr>
        <w:t xml:space="preserve"> 28/17</w:t>
      </w:r>
      <w:r w:rsidR="00636FCD">
        <w:rPr>
          <w:szCs w:val="24"/>
        </w:rPr>
        <w:t>, 112/18 i 126/19</w:t>
      </w:r>
      <w:r w:rsidRPr="000E3FE6">
        <w:rPr>
          <w:szCs w:val="24"/>
        </w:rPr>
        <w:t>)</w:t>
      </w:r>
    </w:p>
    <w:p w:rsidR="000E3FE6" w:rsidRPr="000E3FE6" w:rsidRDefault="000E3FE6" w:rsidP="003C4430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E3FE6">
        <w:rPr>
          <w:szCs w:val="24"/>
        </w:rPr>
        <w:t>Pravilnik o proračunskim klasifikacijama (Narodne novine, br. 26/10</w:t>
      </w:r>
      <w:r w:rsidR="00636FCD">
        <w:rPr>
          <w:szCs w:val="24"/>
        </w:rPr>
        <w:t>,</w:t>
      </w:r>
      <w:r w:rsidRPr="000E3FE6">
        <w:rPr>
          <w:szCs w:val="24"/>
        </w:rPr>
        <w:t xml:space="preserve"> 120/13</w:t>
      </w:r>
      <w:r w:rsidR="00636FCD">
        <w:rPr>
          <w:szCs w:val="24"/>
        </w:rPr>
        <w:t xml:space="preserve"> i 1/20</w:t>
      </w:r>
      <w:r w:rsidRPr="000E3FE6">
        <w:rPr>
          <w:szCs w:val="24"/>
        </w:rPr>
        <w:t xml:space="preserve">) </w:t>
      </w:r>
    </w:p>
    <w:p w:rsidR="00636FCD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 xml:space="preserve">Člankom 7. Pravilnika o financijskom izvještavanju u proračunskom računovodstvu propisan je sadržaj financijskih izvještaja. </w:t>
      </w:r>
    </w:p>
    <w:p w:rsidR="000E3FE6" w:rsidRPr="000E3FE6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 xml:space="preserve">Bilješke uz financijske izvještaje sastavni su dio financijskih izvještaja proračuna. Temeljem članka 13. </w:t>
      </w:r>
      <w:r w:rsidR="00636FCD">
        <w:rPr>
          <w:szCs w:val="24"/>
        </w:rPr>
        <w:t>b</w:t>
      </w:r>
      <w:r w:rsidRPr="000E3FE6">
        <w:rPr>
          <w:szCs w:val="24"/>
        </w:rPr>
        <w:t>ilješke su dopuna podataka uz financijske izvještaje.</w:t>
      </w:r>
    </w:p>
    <w:p w:rsidR="000E3FE6" w:rsidRPr="000E3FE6" w:rsidRDefault="000E3FE6" w:rsidP="003C4430">
      <w:pPr>
        <w:spacing w:after="0"/>
        <w:jc w:val="both"/>
        <w:rPr>
          <w:szCs w:val="24"/>
        </w:rPr>
      </w:pPr>
      <w:r w:rsidRPr="000E3FE6">
        <w:rPr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 xml:space="preserve">Općina </w:t>
      </w:r>
      <w:r w:rsidR="00D54D33">
        <w:rPr>
          <w:szCs w:val="24"/>
        </w:rPr>
        <w:t>Punitovci</w:t>
      </w:r>
      <w:r w:rsidRPr="000E3FE6">
        <w:rPr>
          <w:szCs w:val="24"/>
        </w:rPr>
        <w:t xml:space="preserve"> pri evidentiranju poslovnih promjena primjenjuje modificirano računovodstveno načelo priznavanja prihoda i rashoda te je obveznik proračunskog računovodstva.</w:t>
      </w:r>
    </w:p>
    <w:p w:rsidR="00636FCD" w:rsidRPr="000E3FE6" w:rsidRDefault="00BA3337" w:rsidP="000E3FE6">
      <w:pPr>
        <w:jc w:val="both"/>
        <w:rPr>
          <w:szCs w:val="24"/>
        </w:rPr>
      </w:pPr>
      <w:r>
        <w:rPr>
          <w:szCs w:val="24"/>
        </w:rPr>
        <w:t xml:space="preserve">Općina </w:t>
      </w:r>
      <w:r w:rsidR="00D54D33">
        <w:rPr>
          <w:szCs w:val="24"/>
        </w:rPr>
        <w:t>Punitovci</w:t>
      </w:r>
      <w:r w:rsidR="000E3FE6" w:rsidRPr="007749A7">
        <w:rPr>
          <w:szCs w:val="24"/>
        </w:rPr>
        <w:t xml:space="preserve"> nema proračunskih korisnika te su redovni i konsolidirani godišnji izvještaji </w:t>
      </w:r>
      <w:r w:rsidR="000E3FE6" w:rsidRPr="007749A7">
        <w:rPr>
          <w:sz w:val="22"/>
        </w:rPr>
        <w:t>identični</w:t>
      </w:r>
      <w:r w:rsidR="007749A7">
        <w:rPr>
          <w:szCs w:val="24"/>
        </w:rPr>
        <w:t xml:space="preserve">. </w:t>
      </w:r>
    </w:p>
    <w:p w:rsidR="00612602" w:rsidRPr="00D2227F" w:rsidRDefault="00612602" w:rsidP="00090DCD">
      <w:pPr>
        <w:pStyle w:val="Naslov2"/>
        <w:jc w:val="center"/>
        <w:rPr>
          <w:color w:val="auto"/>
          <w:u w:val="single"/>
        </w:rPr>
      </w:pPr>
      <w:r w:rsidRPr="00D2227F">
        <w:rPr>
          <w:color w:val="auto"/>
          <w:u w:val="single"/>
        </w:rPr>
        <w:lastRenderedPageBreak/>
        <w:t>OBRAZAC PR-RAS</w:t>
      </w:r>
    </w:p>
    <w:p w:rsidR="000E3FE6" w:rsidRPr="00D2227F" w:rsidRDefault="000E3FE6" w:rsidP="000E3FE6">
      <w:pPr>
        <w:pStyle w:val="Naslov3"/>
        <w:rPr>
          <w:color w:val="auto"/>
        </w:rPr>
      </w:pPr>
      <w:r w:rsidRPr="00D2227F">
        <w:rPr>
          <w:color w:val="auto"/>
        </w:rPr>
        <w:t>AOP 004 do 010</w:t>
      </w:r>
    </w:p>
    <w:p w:rsidR="000E3FE6" w:rsidRPr="00EB49D3" w:rsidRDefault="000E3FE6" w:rsidP="000E3FE6">
      <w:pPr>
        <w:pStyle w:val="Odlomakpopisa"/>
        <w:ind w:left="0"/>
        <w:jc w:val="both"/>
      </w:pPr>
      <w:r w:rsidRPr="00EB49D3">
        <w:t xml:space="preserve">Prihodi od poreza na dohodak </w:t>
      </w:r>
      <w:r w:rsidR="00827256" w:rsidRPr="00EB49D3">
        <w:t>u 20</w:t>
      </w:r>
      <w:r w:rsidR="00636FCD">
        <w:t>2</w:t>
      </w:r>
      <w:r w:rsidR="00BA3337">
        <w:t>1</w:t>
      </w:r>
      <w:r w:rsidR="00827256" w:rsidRPr="00EB49D3">
        <w:t xml:space="preserve">. godinu u  odnosu na prethodno izvještajno razdoblje </w:t>
      </w:r>
      <w:r w:rsidRPr="00EB49D3">
        <w:t xml:space="preserve">su </w:t>
      </w:r>
      <w:r w:rsidR="00636FCD">
        <w:t xml:space="preserve">manji za </w:t>
      </w:r>
      <w:r w:rsidR="0089636C">
        <w:t xml:space="preserve">66,06% </w:t>
      </w:r>
      <w:r w:rsidR="00942E70">
        <w:t xml:space="preserve"> zbog gospodarske krize uzrokovane pandemijom COVID 19.</w:t>
      </w:r>
    </w:p>
    <w:p w:rsidR="00612602" w:rsidRPr="00D2227F" w:rsidRDefault="00612602" w:rsidP="00DA1E2C">
      <w:pPr>
        <w:pStyle w:val="Naslov3"/>
        <w:rPr>
          <w:color w:val="auto"/>
        </w:rPr>
      </w:pPr>
      <w:r w:rsidRPr="00D2227F">
        <w:rPr>
          <w:color w:val="auto"/>
        </w:rPr>
        <w:t xml:space="preserve">AOP </w:t>
      </w:r>
      <w:r w:rsidR="009B05BD" w:rsidRPr="00D2227F">
        <w:rPr>
          <w:color w:val="auto"/>
        </w:rPr>
        <w:t>028</w:t>
      </w:r>
    </w:p>
    <w:p w:rsidR="0089636C" w:rsidRPr="00EB49D3" w:rsidRDefault="00827256" w:rsidP="009B05BD">
      <w:r w:rsidRPr="00EB49D3">
        <w:t>O</w:t>
      </w:r>
      <w:r w:rsidR="009B05BD" w:rsidRPr="00EB49D3">
        <w:t>dnosi se na upl</w:t>
      </w:r>
      <w:r w:rsidR="00317DC6">
        <w:t>aćen prihod od poreza na tvrtku, u 2021. g</w:t>
      </w:r>
      <w:r w:rsidR="0089636C">
        <w:t>odini uplaćeno je ukupno 351,91</w:t>
      </w:r>
      <w:r w:rsidR="00317DC6">
        <w:t xml:space="preserve"> kuna</w:t>
      </w:r>
      <w:r w:rsidR="00EE394C">
        <w:t>.</w:t>
      </w:r>
    </w:p>
    <w:p w:rsidR="000E3FE6" w:rsidRPr="00D2227F" w:rsidRDefault="000E3FE6" w:rsidP="000E3FE6">
      <w:pPr>
        <w:pStyle w:val="Naslov3"/>
        <w:rPr>
          <w:color w:val="auto"/>
        </w:rPr>
      </w:pPr>
      <w:r w:rsidRPr="00D2227F">
        <w:rPr>
          <w:color w:val="auto"/>
        </w:rPr>
        <w:t>AOP 045- 073</w:t>
      </w:r>
    </w:p>
    <w:p w:rsidR="000E3FE6" w:rsidRDefault="00827256" w:rsidP="000E3FE6">
      <w:pPr>
        <w:jc w:val="both"/>
      </w:pPr>
      <w:r w:rsidRPr="00EB49D3">
        <w:t>P</w:t>
      </w:r>
      <w:r w:rsidR="000E3FE6" w:rsidRPr="00EB49D3">
        <w:t>rihodi su ostvareni u skladu s odobrenim projektima za financiranje</w:t>
      </w:r>
      <w:r w:rsidRPr="00EB49D3">
        <w:t xml:space="preserve"> i </w:t>
      </w:r>
      <w:r w:rsidR="00AC17FB">
        <w:t xml:space="preserve">odobrenim </w:t>
      </w:r>
      <w:r w:rsidRPr="00EB49D3">
        <w:t>isplat</w:t>
      </w:r>
      <w:r w:rsidR="00AC17FB">
        <w:t>ama</w:t>
      </w:r>
      <w:r w:rsidRPr="00EB49D3">
        <w:t xml:space="preserve"> sredstava u Općinsko</w:t>
      </w:r>
      <w:r w:rsidR="007749A7">
        <w:t>m</w:t>
      </w:r>
      <w:r w:rsidRPr="00EB49D3">
        <w:t xml:space="preserve"> proračun</w:t>
      </w:r>
      <w:r w:rsidR="007749A7">
        <w:t>u</w:t>
      </w:r>
      <w:r w:rsidRPr="00EB49D3">
        <w:t xml:space="preserve"> od strane ugovornih </w:t>
      </w:r>
      <w:r w:rsidR="00AC17FB">
        <w:t xml:space="preserve">i provedbenih </w:t>
      </w:r>
      <w:r w:rsidRPr="00EB49D3">
        <w:t xml:space="preserve">tijela. </w:t>
      </w:r>
      <w:r w:rsidR="007749A7">
        <w:t xml:space="preserve"> Sredstva su ostvarena za provedbu sljedećih projekata:</w:t>
      </w:r>
    </w:p>
    <w:tbl>
      <w:tblPr>
        <w:tblW w:w="6751" w:type="dxa"/>
        <w:tblLook w:val="04A0" w:firstRow="1" w:lastRow="0" w:firstColumn="1" w:lastColumn="0" w:noHBand="0" w:noVBand="1"/>
      </w:tblPr>
      <w:tblGrid>
        <w:gridCol w:w="5155"/>
        <w:gridCol w:w="1596"/>
      </w:tblGrid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Županijski proračun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29.069,23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Ogrjev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21.000,00</w:t>
            </w:r>
          </w:p>
        </w:tc>
      </w:tr>
      <w:tr w:rsidR="00317DC6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DC6" w:rsidRPr="007749A7" w:rsidRDefault="00317DC6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>Izbori 2021.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4C" w:rsidRPr="00EE394C" w:rsidRDefault="00EE394C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>8.069,23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Kapitalne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2.361.366,00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317DC6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>Sufinanciranje izgradnje parkiral</w:t>
            </w:r>
            <w:r w:rsidR="00EE394C">
              <w:rPr>
                <w:rFonts w:ascii="Cambria" w:eastAsia="Times New Roman" w:hAnsi="Cambria" w:cs="Calibri"/>
                <w:sz w:val="22"/>
                <w:lang w:eastAsia="hr-HR"/>
              </w:rPr>
              <w:t>išta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4C" w:rsidRPr="00EE394C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>400.000</w:t>
            </w:r>
            <w:r w:rsidR="00317DC6">
              <w:rPr>
                <w:rFonts w:ascii="Cambria" w:eastAsia="Times New Roman" w:hAnsi="Cambria" w:cs="Calibri"/>
                <w:sz w:val="22"/>
                <w:lang w:eastAsia="hr-HR"/>
              </w:rPr>
              <w:t>,00</w:t>
            </w:r>
          </w:p>
        </w:tc>
      </w:tr>
      <w:tr w:rsidR="00317DC6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DC6" w:rsidRDefault="00EE394C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Pješačke staze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4C" w:rsidRPr="007749A7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250.000,00</w:t>
            </w:r>
          </w:p>
        </w:tc>
      </w:tr>
      <w:tr w:rsidR="00EE394C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4C" w:rsidRDefault="00EE394C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Izgradnja dječjeg vrtića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94C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1.711.366,00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Tekuće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EE394C" w:rsidP="00317DC6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148.537,50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Javni radovi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EE394C" w:rsidP="00EE394C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 xml:space="preserve"> 148.537,50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7749A7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 w:rsidRPr="007749A7">
              <w:rPr>
                <w:rFonts w:ascii="Cambria" w:eastAsia="Times New Roman" w:hAnsi="Cambria" w:cs="Calibri"/>
                <w:sz w:val="22"/>
                <w:lang w:eastAsia="hr-HR"/>
              </w:rPr>
              <w:t>Prijenos EU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749A7" w:rsidRPr="007749A7" w:rsidRDefault="00A07459" w:rsidP="00DE6EFD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2.169.091,02</w:t>
            </w:r>
          </w:p>
        </w:tc>
      </w:tr>
      <w:tr w:rsidR="007749A7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9A7" w:rsidRPr="007749A7" w:rsidRDefault="00DE6EFD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 xml:space="preserve">Projekt </w:t>
            </w:r>
            <w:r w:rsidR="007749A7" w:rsidRPr="007749A7">
              <w:rPr>
                <w:rFonts w:ascii="Cambria" w:eastAsia="Times New Roman" w:hAnsi="Cambria" w:cs="Calibri"/>
                <w:sz w:val="22"/>
                <w:lang w:eastAsia="hr-HR"/>
              </w:rPr>
              <w:t>Zaželi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FD" w:rsidRPr="007749A7" w:rsidRDefault="00A07459" w:rsidP="00A07459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 xml:space="preserve">      1.382.046,13</w:t>
            </w:r>
          </w:p>
        </w:tc>
      </w:tr>
      <w:tr w:rsidR="00DE6EFD" w:rsidRPr="007749A7" w:rsidTr="00A07459">
        <w:trPr>
          <w:trHeight w:val="243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EFD" w:rsidRDefault="00DE6EFD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</w:p>
          <w:p w:rsidR="00DE6EFD" w:rsidRPr="007749A7" w:rsidRDefault="00DE6EFD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sz w:val="22"/>
                <w:lang w:eastAsia="hr-HR"/>
              </w:rPr>
              <w:t xml:space="preserve">Projekt zajedno u zajednici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EFD" w:rsidRPr="007749A7" w:rsidRDefault="00A07459" w:rsidP="007749A7">
            <w:pPr>
              <w:spacing w:after="0" w:line="240" w:lineRule="auto"/>
              <w:rPr>
                <w:rFonts w:ascii="Cambria" w:eastAsia="Times New Roman" w:hAnsi="Cambria" w:cs="Calibri"/>
                <w:lang w:eastAsia="hr-HR"/>
              </w:rPr>
            </w:pPr>
            <w:r>
              <w:rPr>
                <w:rFonts w:ascii="Cambria" w:eastAsia="Times New Roman" w:hAnsi="Cambria" w:cs="Calibri"/>
                <w:lang w:eastAsia="hr-HR"/>
              </w:rPr>
              <w:t>897.590,40</w:t>
            </w:r>
          </w:p>
        </w:tc>
      </w:tr>
    </w:tbl>
    <w:p w:rsidR="007749A7" w:rsidRPr="00EB49D3" w:rsidRDefault="007749A7" w:rsidP="000E3FE6">
      <w:pPr>
        <w:jc w:val="both"/>
      </w:pPr>
    </w:p>
    <w:p w:rsidR="000E3FE6" w:rsidRPr="00D2227F" w:rsidRDefault="000E3FE6" w:rsidP="000E3FE6">
      <w:pPr>
        <w:pStyle w:val="Naslov3"/>
        <w:rPr>
          <w:color w:val="auto"/>
        </w:rPr>
      </w:pPr>
      <w:r w:rsidRPr="00D2227F">
        <w:rPr>
          <w:color w:val="auto"/>
        </w:rPr>
        <w:t>AOP 149-159, 163 i 173</w:t>
      </w:r>
    </w:p>
    <w:p w:rsidR="00B01141" w:rsidRDefault="00A36E4C" w:rsidP="000E3FE6">
      <w:pPr>
        <w:jc w:val="both"/>
      </w:pPr>
      <w:r>
        <w:t>P</w:t>
      </w:r>
      <w:r w:rsidR="00B01141">
        <w:t xml:space="preserve">rojekt „Zaželi“ </w:t>
      </w:r>
      <w:r>
        <w:t>započeo</w:t>
      </w:r>
      <w:r w:rsidR="00B01141">
        <w:t xml:space="preserve"> je s radom</w:t>
      </w:r>
      <w:r>
        <w:t>01.09.2020. godine, te  se provodio</w:t>
      </w:r>
      <w:r w:rsidR="00B01141">
        <w:t xml:space="preserve"> sve do</w:t>
      </w:r>
      <w:r>
        <w:t xml:space="preserve"> 31.08.2021</w:t>
      </w:r>
      <w:r w:rsidR="00B01141">
        <w:t>. godi</w:t>
      </w:r>
      <w:r>
        <w:t xml:space="preserve">ne, sredstva za redovan rad su </w:t>
      </w:r>
      <w:r w:rsidR="00B01141">
        <w:t xml:space="preserve"> osigurana iz EU sredstava. Projekt „Javni radovi“ je započeo </w:t>
      </w:r>
      <w:r>
        <w:t>01.05</w:t>
      </w:r>
      <w:r w:rsidR="00B01141">
        <w:t xml:space="preserve">.2021., te završio </w:t>
      </w:r>
      <w:r>
        <w:t>31.07</w:t>
      </w:r>
      <w:r w:rsidR="00B01141">
        <w:t>.2021., sredstva su osigurana od strane Hrvatskog zavoda za zapošljavanje.</w:t>
      </w:r>
    </w:p>
    <w:p w:rsidR="00100767" w:rsidRPr="00D2227F" w:rsidRDefault="00100767" w:rsidP="00100767">
      <w:pPr>
        <w:pStyle w:val="Naslov2"/>
        <w:rPr>
          <w:color w:val="auto"/>
        </w:rPr>
      </w:pPr>
      <w:r w:rsidRPr="00D2227F">
        <w:rPr>
          <w:color w:val="auto"/>
        </w:rPr>
        <w:t>AOP 18</w:t>
      </w:r>
      <w:r w:rsidR="00B01141" w:rsidRPr="00D2227F">
        <w:rPr>
          <w:color w:val="auto"/>
        </w:rPr>
        <w:t>4</w:t>
      </w:r>
    </w:p>
    <w:p w:rsidR="00D54F70" w:rsidRPr="004819FB" w:rsidRDefault="00B01141" w:rsidP="00D54F70">
      <w:r>
        <w:t xml:space="preserve">Isplata naknada za rad Općinskom vijeću, te u 2021. godini, održani su lokalni izbori, te su isplaćene naknade za rad biračkih odbora, članovima povjerenstava, </w:t>
      </w:r>
      <w:r w:rsidR="00D42EDF">
        <w:t>te izbornom povjerenstvu.</w:t>
      </w:r>
    </w:p>
    <w:p w:rsidR="00D54F70" w:rsidRPr="004819FB" w:rsidRDefault="00D54F70" w:rsidP="00090DCD">
      <w:pPr>
        <w:pStyle w:val="Naslov2"/>
        <w:jc w:val="center"/>
        <w:rPr>
          <w:color w:val="auto"/>
          <w:u w:val="single"/>
        </w:rPr>
      </w:pPr>
      <w:r w:rsidRPr="004819FB">
        <w:rPr>
          <w:color w:val="auto"/>
          <w:u w:val="single"/>
        </w:rPr>
        <w:t>OBRAZAC P- VRIO</w:t>
      </w:r>
    </w:p>
    <w:p w:rsidR="007749A7" w:rsidRDefault="00EC78FC" w:rsidP="009239AC">
      <w:pPr>
        <w:jc w:val="both"/>
      </w:pPr>
      <w:r w:rsidRPr="00EB49D3">
        <w:t xml:space="preserve">Općina </w:t>
      </w:r>
      <w:r w:rsidR="00507A65">
        <w:t>Punitovci</w:t>
      </w:r>
      <w:r w:rsidRPr="00EB49D3">
        <w:t xml:space="preserve"> je uknjižila </w:t>
      </w:r>
      <w:r w:rsidR="00ED78EE">
        <w:t>osnovna sredstva</w:t>
      </w:r>
      <w:r w:rsidR="00507A65">
        <w:t xml:space="preserve"> </w:t>
      </w:r>
      <w:r w:rsidR="00ED78EE">
        <w:t xml:space="preserve">u vlasništvu </w:t>
      </w:r>
      <w:r w:rsidR="0063345E">
        <w:t xml:space="preserve"> Općine </w:t>
      </w:r>
      <w:r w:rsidR="00ED78EE">
        <w:t>Drenje</w:t>
      </w:r>
      <w:r w:rsidRPr="00EB49D3">
        <w:t xml:space="preserve"> po procijenjenoj vrijednosti od </w:t>
      </w:r>
      <w:r w:rsidR="00507A65">
        <w:t>14.830,00</w:t>
      </w:r>
      <w:r w:rsidRPr="00EB49D3">
        <w:t xml:space="preserve"> kn</w:t>
      </w:r>
      <w:r w:rsidR="0063345E">
        <w:t xml:space="preserve">, te ispravila </w:t>
      </w:r>
      <w:r w:rsidR="007749A7">
        <w:t>sljedeća potraživanja:</w:t>
      </w:r>
    </w:p>
    <w:p w:rsidR="007E2105" w:rsidRDefault="007749A7" w:rsidP="007749A7">
      <w:pPr>
        <w:pStyle w:val="Odlomakpopisa"/>
        <w:numPr>
          <w:ilvl w:val="0"/>
          <w:numId w:val="4"/>
        </w:numPr>
      </w:pPr>
      <w:r>
        <w:t xml:space="preserve">povećanje u iznosu od </w:t>
      </w:r>
      <w:r w:rsidR="00507A65">
        <w:t>14.830,</w:t>
      </w:r>
      <w:r w:rsidR="00935DE0">
        <w:t>00</w:t>
      </w:r>
      <w:r>
        <w:t xml:space="preserve"> kn </w:t>
      </w:r>
      <w:r w:rsidR="00935DE0">
        <w:t>– promjene u obujmu imovine</w:t>
      </w:r>
    </w:p>
    <w:p w:rsidR="00507A65" w:rsidRDefault="00507A65" w:rsidP="00507A65"/>
    <w:p w:rsidR="004819FB" w:rsidRDefault="004819FB" w:rsidP="004819FB">
      <w:pPr>
        <w:pStyle w:val="Odlomakpopisa"/>
      </w:pPr>
    </w:p>
    <w:p w:rsidR="00D54F70" w:rsidRPr="00D2227F" w:rsidRDefault="00D54F70" w:rsidP="00090DCD">
      <w:pPr>
        <w:pStyle w:val="Naslov2"/>
        <w:jc w:val="center"/>
        <w:rPr>
          <w:color w:val="auto"/>
          <w:u w:val="single"/>
        </w:rPr>
      </w:pPr>
      <w:r w:rsidRPr="00D2227F">
        <w:rPr>
          <w:color w:val="auto"/>
          <w:u w:val="single"/>
        </w:rPr>
        <w:t>OBRAZAC BILANCA</w:t>
      </w:r>
    </w:p>
    <w:p w:rsidR="003C4430" w:rsidRPr="00D2227F" w:rsidRDefault="003C4430" w:rsidP="003C4430">
      <w:pPr>
        <w:pStyle w:val="Naslov3"/>
        <w:rPr>
          <w:color w:val="auto"/>
          <w:u w:val="single"/>
        </w:rPr>
      </w:pPr>
      <w:r w:rsidRPr="00D2227F">
        <w:rPr>
          <w:color w:val="auto"/>
          <w:sz w:val="28"/>
          <w:szCs w:val="28"/>
          <w:u w:val="single"/>
        </w:rPr>
        <w:t>Zaduženje</w:t>
      </w:r>
    </w:p>
    <w:p w:rsidR="00463716" w:rsidRDefault="00463716" w:rsidP="00463716">
      <w:r w:rsidRPr="00EB49D3">
        <w:t xml:space="preserve">U izvanbilančnim evidencijama su evidentirane dane </w:t>
      </w:r>
      <w:r w:rsidR="00EC78FC" w:rsidRPr="00EB49D3">
        <w:t xml:space="preserve">bjanko </w:t>
      </w:r>
      <w:r w:rsidRPr="00EB49D3">
        <w:t>zadužnice</w:t>
      </w:r>
      <w:r w:rsidR="00D42EDF">
        <w:t xml:space="preserve">i mjenice </w:t>
      </w:r>
      <w:r w:rsidR="00EC78FC" w:rsidRPr="00EB49D3">
        <w:t xml:space="preserve">u iznosu od </w:t>
      </w:r>
    </w:p>
    <w:p w:rsidR="00D42EDF" w:rsidRDefault="00D42EDF" w:rsidP="00D42EDF">
      <w:pPr>
        <w:pStyle w:val="Odlomakpopisa"/>
        <w:numPr>
          <w:ilvl w:val="0"/>
          <w:numId w:val="5"/>
        </w:numPr>
      </w:pPr>
      <w:r>
        <w:t xml:space="preserve">zadužnica za okvirni kredit – </w:t>
      </w:r>
      <w:r w:rsidR="00507A65">
        <w:t xml:space="preserve">PBZ banka  </w:t>
      </w:r>
      <w:r>
        <w:t xml:space="preserve"> </w:t>
      </w:r>
      <w:r>
        <w:tab/>
      </w:r>
      <w:r>
        <w:tab/>
      </w:r>
      <w:r w:rsidR="00507A65">
        <w:t>2.300</w:t>
      </w:r>
      <w:r>
        <w:t xml:space="preserve">.000,00 </w:t>
      </w:r>
    </w:p>
    <w:p w:rsidR="00D42EDF" w:rsidRDefault="00D42EDF" w:rsidP="00D42EDF">
      <w:pPr>
        <w:pStyle w:val="Odlomakpopisa"/>
        <w:numPr>
          <w:ilvl w:val="0"/>
          <w:numId w:val="5"/>
        </w:numPr>
      </w:pPr>
      <w:r>
        <w:t>z</w:t>
      </w:r>
      <w:r w:rsidR="00507A65">
        <w:t xml:space="preserve">adužnica za parkiralište u Punitovcima – MRRFEU </w:t>
      </w:r>
      <w:r w:rsidR="00507A65">
        <w:tab/>
      </w:r>
      <w:r>
        <w:t>500.000,00</w:t>
      </w:r>
    </w:p>
    <w:p w:rsidR="00D42EDF" w:rsidRDefault="00D42EDF" w:rsidP="00D42EDF">
      <w:pPr>
        <w:pStyle w:val="Odlomakpopisa"/>
        <w:numPr>
          <w:ilvl w:val="0"/>
          <w:numId w:val="5"/>
        </w:numPr>
      </w:pPr>
      <w:r>
        <w:t>mjenica – Lovačko društvo</w:t>
      </w:r>
      <w:r>
        <w:tab/>
      </w:r>
      <w:r w:rsidR="00772918">
        <w:t>Lisica</w:t>
      </w:r>
      <w:r>
        <w:tab/>
      </w:r>
      <w:r>
        <w:tab/>
      </w:r>
      <w:r w:rsidR="00507A65">
        <w:tab/>
      </w:r>
      <w:r w:rsidR="00507A65">
        <w:tab/>
        <w:t>5.591</w:t>
      </w:r>
      <w:r>
        <w:t>,00</w:t>
      </w:r>
    </w:p>
    <w:p w:rsidR="00E11EE4" w:rsidRPr="00D2227F" w:rsidRDefault="00E11EE4" w:rsidP="00E11EE4">
      <w:pPr>
        <w:pStyle w:val="Naslov2"/>
        <w:rPr>
          <w:color w:val="auto"/>
        </w:rPr>
      </w:pPr>
      <w:r w:rsidRPr="00D2227F">
        <w:rPr>
          <w:color w:val="auto"/>
        </w:rPr>
        <w:t>AOP 1</w:t>
      </w:r>
      <w:r w:rsidR="008F380E" w:rsidRPr="00D2227F">
        <w:rPr>
          <w:color w:val="auto"/>
        </w:rPr>
        <w:t>29 -140</w:t>
      </w:r>
    </w:p>
    <w:p w:rsidR="00E11EE4" w:rsidRPr="00EB49D3" w:rsidRDefault="00EC78FC" w:rsidP="002159D0">
      <w:pPr>
        <w:jc w:val="both"/>
      </w:pPr>
      <w:r w:rsidRPr="00EB49D3">
        <w:t>U odnosu na pret</w:t>
      </w:r>
      <w:r w:rsidR="002725D0">
        <w:t>hodno izvještajno razdoblje došlo je do ispravka vrijednosti dionica i udjela u gla</w:t>
      </w:r>
      <w:r w:rsidR="005D7E4D">
        <w:t>vnici, u iznosu od 6.299.800,00.</w:t>
      </w:r>
    </w:p>
    <w:p w:rsidR="00D54F70" w:rsidRPr="001D3AEC" w:rsidRDefault="002159D0" w:rsidP="00D54F70">
      <w:pPr>
        <w:pStyle w:val="Naslov3"/>
        <w:rPr>
          <w:color w:val="auto"/>
        </w:rPr>
      </w:pPr>
      <w:r w:rsidRPr="001D3AEC">
        <w:rPr>
          <w:color w:val="auto"/>
        </w:rPr>
        <w:t>AOP 233 i 23</w:t>
      </w:r>
      <w:r w:rsidR="00F4169B" w:rsidRPr="001D3AEC">
        <w:rPr>
          <w:color w:val="auto"/>
        </w:rPr>
        <w:t>8</w:t>
      </w:r>
    </w:p>
    <w:p w:rsidR="000A545E" w:rsidRPr="003C4430" w:rsidRDefault="00153BDB" w:rsidP="00153BDB">
      <w:pPr>
        <w:jc w:val="both"/>
      </w:pPr>
      <w:r w:rsidRPr="003C4430">
        <w:t>Izvršena je korekcija manjka p</w:t>
      </w:r>
      <w:r w:rsidR="007F037D">
        <w:t xml:space="preserve">rihoda od nefinancijske imovine, </w:t>
      </w:r>
      <w:r w:rsidR="00EB49D3" w:rsidRPr="003C4430">
        <w:t xml:space="preserve">iznos korekcije </w:t>
      </w:r>
      <w:r w:rsidR="000619F7">
        <w:t>3.932.408,82</w:t>
      </w:r>
      <w:r w:rsidR="00EB49D3" w:rsidRPr="003C4430">
        <w:t xml:space="preserve"> kn</w:t>
      </w:r>
      <w:r w:rsidR="000A545E" w:rsidRPr="003C4430">
        <w:t>. Osim toga provedena su knjiženja temeljem odluke o raspodjeli rezultata za 20</w:t>
      </w:r>
      <w:r w:rsidR="003C4430">
        <w:t>20</w:t>
      </w:r>
      <w:r w:rsidR="000A545E" w:rsidRPr="003C4430">
        <w:t xml:space="preserve">.g. </w:t>
      </w:r>
    </w:p>
    <w:p w:rsidR="00153BDB" w:rsidRPr="003C4430" w:rsidRDefault="00153BDB" w:rsidP="002159D0">
      <w:pPr>
        <w:jc w:val="both"/>
      </w:pPr>
      <w:r w:rsidRPr="003C4430">
        <w:t xml:space="preserve">Nakon obračuna poslovanja </w:t>
      </w:r>
      <w:r w:rsidR="000A545E" w:rsidRPr="003C4430">
        <w:t xml:space="preserve">i provedenih knjiženja </w:t>
      </w:r>
      <w:r w:rsidRPr="003C4430">
        <w:t>utvrđeni su sljedeći rezultati:</w:t>
      </w:r>
    </w:p>
    <w:p w:rsidR="00153BDB" w:rsidRPr="003C4430" w:rsidRDefault="00153BDB" w:rsidP="00153BDB">
      <w:pPr>
        <w:pStyle w:val="Odlomakpopisa"/>
        <w:numPr>
          <w:ilvl w:val="0"/>
          <w:numId w:val="1"/>
        </w:numPr>
        <w:jc w:val="both"/>
      </w:pPr>
      <w:r w:rsidRPr="003C4430">
        <w:t xml:space="preserve">92211- višak prihoda poslovanja- </w:t>
      </w:r>
      <w:r w:rsidR="000619F7">
        <w:tab/>
      </w:r>
      <w:r w:rsidR="000619F7">
        <w:tab/>
      </w:r>
      <w:r w:rsidR="000619F7">
        <w:tab/>
      </w:r>
      <w:r w:rsidR="000619F7">
        <w:tab/>
      </w:r>
      <w:r w:rsidR="00757434">
        <w:t xml:space="preserve"> </w:t>
      </w:r>
      <w:bookmarkStart w:id="1" w:name="_GoBack"/>
      <w:bookmarkEnd w:id="1"/>
      <w:r w:rsidR="00757434">
        <w:t>1.636.104,23</w:t>
      </w:r>
    </w:p>
    <w:p w:rsidR="00153BDB" w:rsidRDefault="00153BDB" w:rsidP="00153BDB">
      <w:pPr>
        <w:pStyle w:val="Odlomakpopisa"/>
        <w:numPr>
          <w:ilvl w:val="0"/>
          <w:numId w:val="1"/>
        </w:numPr>
        <w:jc w:val="both"/>
      </w:pPr>
      <w:r w:rsidRPr="003C4430">
        <w:t>92222- manjak prihoda od nefinancijske imovine</w:t>
      </w:r>
      <w:r w:rsidR="000619F7">
        <w:t xml:space="preserve">       </w:t>
      </w:r>
      <w:r w:rsidR="000619F7">
        <w:tab/>
      </w:r>
      <w:r w:rsidR="00757434">
        <w:t>-1.475.140,84</w:t>
      </w:r>
    </w:p>
    <w:p w:rsidR="00E32CDE" w:rsidRDefault="00E32CDE" w:rsidP="00153BDB">
      <w:pPr>
        <w:pStyle w:val="Odlomakpopisa"/>
        <w:numPr>
          <w:ilvl w:val="0"/>
          <w:numId w:val="1"/>
        </w:numPr>
        <w:jc w:val="both"/>
      </w:pPr>
      <w:r>
        <w:t>92213 – višak primitaka od financijske imovine</w:t>
      </w:r>
      <w:r>
        <w:tab/>
      </w:r>
      <w:r w:rsidR="00757434">
        <w:t xml:space="preserve">        </w:t>
      </w:r>
      <w:r w:rsidR="00757434">
        <w:tab/>
        <w:t>-1.289.106,88</w:t>
      </w:r>
      <w:r>
        <w:tab/>
      </w:r>
    </w:p>
    <w:p w:rsidR="003C4430" w:rsidRPr="003C4430" w:rsidRDefault="003C4430" w:rsidP="003C4430">
      <w:pPr>
        <w:pStyle w:val="Odlomakpopisa"/>
        <w:jc w:val="both"/>
        <w:rPr>
          <w:b/>
          <w:bCs/>
        </w:rPr>
      </w:pPr>
      <w:r w:rsidRPr="003C4430">
        <w:rPr>
          <w:b/>
          <w:bCs/>
        </w:rPr>
        <w:t>UKUPAN REZULTAT</w:t>
      </w:r>
      <w:r>
        <w:rPr>
          <w:b/>
          <w:bCs/>
        </w:rPr>
        <w:t xml:space="preserve"> (</w:t>
      </w:r>
      <w:r w:rsidR="007F037D">
        <w:rPr>
          <w:b/>
          <w:bCs/>
        </w:rPr>
        <w:t>manjak</w:t>
      </w:r>
      <w:r>
        <w:rPr>
          <w:b/>
          <w:bCs/>
        </w:rPr>
        <w:t>)</w:t>
      </w:r>
      <w:r w:rsidRPr="003C4430">
        <w:rPr>
          <w:b/>
          <w:bCs/>
        </w:rPr>
        <w:t xml:space="preserve">:                                   </w:t>
      </w:r>
      <w:r w:rsidR="00757434">
        <w:rPr>
          <w:b/>
          <w:bCs/>
        </w:rPr>
        <w:t xml:space="preserve">      </w:t>
      </w:r>
      <w:r w:rsidR="00E32CDE">
        <w:rPr>
          <w:b/>
          <w:bCs/>
        </w:rPr>
        <w:t xml:space="preserve"> - </w:t>
      </w:r>
      <w:r w:rsidR="00757434">
        <w:rPr>
          <w:b/>
          <w:bCs/>
        </w:rPr>
        <w:t>1.128.143,49</w:t>
      </w:r>
    </w:p>
    <w:p w:rsidR="003C4430" w:rsidRPr="003C4430" w:rsidRDefault="003C4430" w:rsidP="003C4430">
      <w:pPr>
        <w:jc w:val="both"/>
      </w:pPr>
      <w:r>
        <w:t>Nakon izrade Godišnjeg izvještaja o izvršenju proračuna bit će utvrđena struktura financijskog rezultata po izvorima financiranja te će Općinsko vijeće donijeti Odluku o raspodjeli rezultata.</w:t>
      </w:r>
    </w:p>
    <w:p w:rsidR="004C3D4F" w:rsidRDefault="004C3D4F" w:rsidP="00046D9C">
      <w:pPr>
        <w:jc w:val="both"/>
        <w:rPr>
          <w:b/>
        </w:rPr>
      </w:pPr>
    </w:p>
    <w:p w:rsidR="00046D9C" w:rsidRPr="00D2227F" w:rsidRDefault="00046D9C" w:rsidP="00090DCD">
      <w:pPr>
        <w:pStyle w:val="Naslov2"/>
        <w:jc w:val="center"/>
        <w:rPr>
          <w:color w:val="auto"/>
          <w:u w:val="single"/>
        </w:rPr>
      </w:pPr>
      <w:r w:rsidRPr="00D2227F">
        <w:rPr>
          <w:color w:val="auto"/>
          <w:u w:val="single"/>
        </w:rPr>
        <w:t>OBRAZAC Obveze</w:t>
      </w:r>
    </w:p>
    <w:p w:rsidR="00046D9C" w:rsidRPr="00D2227F" w:rsidRDefault="00046D9C" w:rsidP="00046D9C">
      <w:pPr>
        <w:pStyle w:val="Naslov3"/>
        <w:rPr>
          <w:color w:val="auto"/>
        </w:rPr>
      </w:pPr>
      <w:r w:rsidRPr="00D2227F">
        <w:rPr>
          <w:color w:val="auto"/>
        </w:rPr>
        <w:t>AOP 038</w:t>
      </w:r>
    </w:p>
    <w:p w:rsidR="00046D9C" w:rsidRPr="00EB49D3" w:rsidRDefault="00046D9C" w:rsidP="00046D9C">
      <w:pPr>
        <w:jc w:val="both"/>
      </w:pPr>
      <w:r w:rsidRPr="00EB49D3">
        <w:t xml:space="preserve">Ukupne obveze iznose </w:t>
      </w:r>
      <w:r w:rsidR="00466C4B">
        <w:t>2.254.822,47</w:t>
      </w:r>
      <w:r w:rsidR="00C176DB" w:rsidRPr="00EB49D3">
        <w:t xml:space="preserve">kn. </w:t>
      </w:r>
      <w:r w:rsidR="00F4169B" w:rsidRPr="00EB49D3">
        <w:t>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F4169B" w:rsidRPr="00EB49D3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466C4B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81.937,85</w:t>
            </w:r>
          </w:p>
        </w:tc>
      </w:tr>
      <w:tr w:rsidR="00F4169B" w:rsidRPr="00EB49D3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466C4B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298.573,50</w:t>
            </w:r>
          </w:p>
        </w:tc>
      </w:tr>
      <w:tr w:rsidR="00F4169B" w:rsidRPr="00EB49D3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466C4B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2.540,30</w:t>
            </w:r>
          </w:p>
        </w:tc>
      </w:tr>
      <w:tr w:rsidR="00F4169B" w:rsidRPr="00EB49D3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EB49D3" w:rsidRDefault="00466C4B" w:rsidP="00D11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</w:t>
            </w:r>
            <w:r w:rsidR="00D11B52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.</w:t>
            </w:r>
            <w:r w:rsidR="00D11B52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487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,</w:t>
            </w:r>
            <w:r w:rsidR="00D11B52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60</w:t>
            </w:r>
          </w:p>
        </w:tc>
      </w:tr>
      <w:tr w:rsidR="00F4169B" w:rsidRPr="00EB49D3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Default="00F4169B" w:rsidP="00900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EB49D3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 xml:space="preserve">Ostale obveze </w:t>
            </w:r>
          </w:p>
          <w:p w:rsidR="00876774" w:rsidRPr="00EB49D3" w:rsidRDefault="00876774" w:rsidP="00900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 xml:space="preserve">Obveze za nefinancijsku imovinu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Default="00D11B52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2.268,75</w:t>
            </w:r>
          </w:p>
          <w:p w:rsidR="009115A4" w:rsidRPr="00EB49D3" w:rsidRDefault="00D11B52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792.121,35</w:t>
            </w:r>
          </w:p>
        </w:tc>
      </w:tr>
      <w:tr w:rsidR="00827256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256" w:rsidRPr="00EB49D3" w:rsidRDefault="00876774" w:rsidP="00C17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financijsku imovinu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256" w:rsidRDefault="00D11B52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1.010.893,12</w:t>
            </w:r>
          </w:p>
        </w:tc>
      </w:tr>
    </w:tbl>
    <w:p w:rsidR="00F4169B" w:rsidRPr="00D2227F" w:rsidRDefault="00F4169B" w:rsidP="00046D9C">
      <w:pPr>
        <w:jc w:val="both"/>
      </w:pPr>
    </w:p>
    <w:p w:rsidR="000A545E" w:rsidRPr="00D2227F" w:rsidRDefault="000A545E" w:rsidP="00090DCD">
      <w:pPr>
        <w:pStyle w:val="Naslov2"/>
        <w:jc w:val="center"/>
        <w:rPr>
          <w:color w:val="auto"/>
          <w:u w:val="single"/>
        </w:rPr>
      </w:pPr>
      <w:r w:rsidRPr="00D2227F">
        <w:rPr>
          <w:color w:val="auto"/>
          <w:u w:val="single"/>
        </w:rPr>
        <w:t>IZVJEŠTAJ O RASHODIMA PREMA FUNKCIJSKOJ KLASIFIKACIJI</w:t>
      </w:r>
    </w:p>
    <w:p w:rsidR="000A545E" w:rsidRPr="00EB49D3" w:rsidRDefault="000A545E" w:rsidP="000A545E">
      <w:pPr>
        <w:jc w:val="both"/>
      </w:pPr>
    </w:p>
    <w:p w:rsidR="000A545E" w:rsidRPr="00EF4DC9" w:rsidRDefault="000A545E" w:rsidP="000A545E">
      <w:pPr>
        <w:jc w:val="both"/>
      </w:pPr>
      <w:r w:rsidRPr="00EB49D3">
        <w:t>U Obrascu RAS-funkcijski iskazani su rashodi razreda 3 i 4 prema funkcijama za koje su utrošeni</w:t>
      </w:r>
      <w:r w:rsidR="008C55A9">
        <w:t xml:space="preserve"> u ukupnom iznosu </w:t>
      </w:r>
      <w:r w:rsidR="00E11546">
        <w:t>1.014.805.</w:t>
      </w:r>
      <w:r w:rsidRPr="00EB49D3">
        <w:t xml:space="preserve"> Iznosi navedeni u Obrascu RAS-funkcijski odgovaraju ukupno iskazanim rashodima u Obrascu PR-RAS na AOP-u </w:t>
      </w:r>
      <w:r w:rsidR="00301FBA">
        <w:t>407</w:t>
      </w:r>
      <w:r w:rsidR="00ED78EE">
        <w:t>.</w:t>
      </w:r>
    </w:p>
    <w:p w:rsidR="00046D9C" w:rsidRDefault="004C3D4F" w:rsidP="00046D9C">
      <w:r>
        <w:t xml:space="preserve">U </w:t>
      </w:r>
      <w:r w:rsidR="00301FBA">
        <w:t>Drenju</w:t>
      </w:r>
      <w:r>
        <w:t xml:space="preserve">, </w:t>
      </w:r>
      <w:r w:rsidR="00301FBA">
        <w:t>1</w:t>
      </w:r>
      <w:r w:rsidR="00667B83">
        <w:t>2</w:t>
      </w:r>
      <w:r w:rsidR="00046D9C">
        <w:t xml:space="preserve">. </w:t>
      </w:r>
      <w:r>
        <w:t>veljače</w:t>
      </w:r>
      <w:r w:rsidR="00046D9C">
        <w:t xml:space="preserve"> 20</w:t>
      </w:r>
      <w:r w:rsidR="00EC78FC">
        <w:t>2</w:t>
      </w:r>
      <w:r w:rsidR="008B0C8D">
        <w:t>2</w:t>
      </w:r>
      <w:r w:rsidR="00046D9C">
        <w:t>.g.</w:t>
      </w:r>
    </w:p>
    <w:p w:rsidR="00EA0EA9" w:rsidRDefault="00EA0EA9" w:rsidP="00046D9C"/>
    <w:p w:rsidR="00466C4B" w:rsidRDefault="00046D9C" w:rsidP="00046D9C">
      <w:r>
        <w:tab/>
      </w:r>
      <w:r>
        <w:tab/>
      </w:r>
      <w:r>
        <w:tab/>
      </w:r>
      <w:r>
        <w:tab/>
      </w:r>
      <w:r w:rsidR="00EA0EA9">
        <w:tab/>
      </w:r>
      <w:r w:rsidR="00EA0EA9">
        <w:tab/>
      </w:r>
      <w:r>
        <w:tab/>
      </w:r>
      <w:r w:rsidR="00C176DB">
        <w:t>Općinski n</w:t>
      </w:r>
      <w:r w:rsidR="004C3D4F">
        <w:t>ačelnik</w:t>
      </w:r>
      <w:r w:rsidR="00C176DB">
        <w:t>:</w:t>
      </w:r>
    </w:p>
    <w:p w:rsidR="00046D9C" w:rsidRDefault="00466C4B" w:rsidP="00466C4B">
      <w:pPr>
        <w:ind w:left="4248" w:firstLine="708"/>
      </w:pPr>
      <w:r>
        <w:t xml:space="preserve">   Jasna Matković</w:t>
      </w:r>
    </w:p>
    <w:p w:rsidR="00AE0BB9" w:rsidRPr="00046D9C" w:rsidRDefault="00AE0BB9" w:rsidP="00046D9C"/>
    <w:sectPr w:rsidR="00AE0BB9" w:rsidRPr="00046D9C" w:rsidSect="0012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FB" w:rsidRDefault="003472FB" w:rsidP="008F2494">
      <w:pPr>
        <w:spacing w:after="0" w:line="240" w:lineRule="auto"/>
      </w:pPr>
      <w:r>
        <w:separator/>
      </w:r>
    </w:p>
  </w:endnote>
  <w:endnote w:type="continuationSeparator" w:id="0">
    <w:p w:rsidR="003472FB" w:rsidRDefault="003472FB" w:rsidP="008F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FB" w:rsidRDefault="003472FB" w:rsidP="008F2494">
      <w:pPr>
        <w:spacing w:after="0" w:line="240" w:lineRule="auto"/>
      </w:pPr>
      <w:r>
        <w:separator/>
      </w:r>
    </w:p>
  </w:footnote>
  <w:footnote w:type="continuationSeparator" w:id="0">
    <w:p w:rsidR="003472FB" w:rsidRDefault="003472FB" w:rsidP="008F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640D"/>
    <w:multiLevelType w:val="hybridMultilevel"/>
    <w:tmpl w:val="B1826606"/>
    <w:lvl w:ilvl="0" w:tplc="EA08E9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77DB1"/>
    <w:multiLevelType w:val="hybridMultilevel"/>
    <w:tmpl w:val="62501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F24C8"/>
    <w:multiLevelType w:val="hybridMultilevel"/>
    <w:tmpl w:val="058C0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02"/>
    <w:rsid w:val="00035F86"/>
    <w:rsid w:val="00046D9C"/>
    <w:rsid w:val="000619F7"/>
    <w:rsid w:val="000804DC"/>
    <w:rsid w:val="00086029"/>
    <w:rsid w:val="00090DCD"/>
    <w:rsid w:val="000933BF"/>
    <w:rsid w:val="000939AD"/>
    <w:rsid w:val="000A545E"/>
    <w:rsid w:val="000E3FE6"/>
    <w:rsid w:val="000F6FC7"/>
    <w:rsid w:val="00100767"/>
    <w:rsid w:val="00107987"/>
    <w:rsid w:val="00111E75"/>
    <w:rsid w:val="001220CF"/>
    <w:rsid w:val="00153BDB"/>
    <w:rsid w:val="001A01E6"/>
    <w:rsid w:val="001D3AEC"/>
    <w:rsid w:val="002159D0"/>
    <w:rsid w:val="00223DB0"/>
    <w:rsid w:val="002725D0"/>
    <w:rsid w:val="002D67CF"/>
    <w:rsid w:val="002E5047"/>
    <w:rsid w:val="00301FBA"/>
    <w:rsid w:val="00317DC6"/>
    <w:rsid w:val="003472FB"/>
    <w:rsid w:val="00354583"/>
    <w:rsid w:val="003C4430"/>
    <w:rsid w:val="003E32C3"/>
    <w:rsid w:val="00443F6C"/>
    <w:rsid w:val="00463716"/>
    <w:rsid w:val="00466C4B"/>
    <w:rsid w:val="004819FB"/>
    <w:rsid w:val="004B0B3B"/>
    <w:rsid w:val="004C3D4F"/>
    <w:rsid w:val="004F20F1"/>
    <w:rsid w:val="00507A65"/>
    <w:rsid w:val="00550A76"/>
    <w:rsid w:val="005563DC"/>
    <w:rsid w:val="00561594"/>
    <w:rsid w:val="00591A50"/>
    <w:rsid w:val="005D7E4D"/>
    <w:rsid w:val="00612602"/>
    <w:rsid w:val="0063345E"/>
    <w:rsid w:val="00636FCD"/>
    <w:rsid w:val="00646148"/>
    <w:rsid w:val="00667B83"/>
    <w:rsid w:val="006A2C16"/>
    <w:rsid w:val="006B7914"/>
    <w:rsid w:val="00744939"/>
    <w:rsid w:val="00757434"/>
    <w:rsid w:val="00764F4B"/>
    <w:rsid w:val="00772918"/>
    <w:rsid w:val="00774748"/>
    <w:rsid w:val="007749A7"/>
    <w:rsid w:val="007E2105"/>
    <w:rsid w:val="007F037D"/>
    <w:rsid w:val="0082560D"/>
    <w:rsid w:val="00827256"/>
    <w:rsid w:val="00834C9B"/>
    <w:rsid w:val="0085503E"/>
    <w:rsid w:val="00876774"/>
    <w:rsid w:val="00880878"/>
    <w:rsid w:val="0089636C"/>
    <w:rsid w:val="008B0C8D"/>
    <w:rsid w:val="008C55A9"/>
    <w:rsid w:val="008C7621"/>
    <w:rsid w:val="008F2494"/>
    <w:rsid w:val="008F380E"/>
    <w:rsid w:val="00900FA1"/>
    <w:rsid w:val="009115A4"/>
    <w:rsid w:val="009239AC"/>
    <w:rsid w:val="00935DE0"/>
    <w:rsid w:val="00942E70"/>
    <w:rsid w:val="00951B8D"/>
    <w:rsid w:val="00964EA4"/>
    <w:rsid w:val="0099120B"/>
    <w:rsid w:val="009B05BD"/>
    <w:rsid w:val="00A07459"/>
    <w:rsid w:val="00A36E4C"/>
    <w:rsid w:val="00A4488F"/>
    <w:rsid w:val="00A6605E"/>
    <w:rsid w:val="00AA63B6"/>
    <w:rsid w:val="00AB7A9A"/>
    <w:rsid w:val="00AC17FB"/>
    <w:rsid w:val="00AC7F8D"/>
    <w:rsid w:val="00AE0BB9"/>
    <w:rsid w:val="00B01141"/>
    <w:rsid w:val="00B0581E"/>
    <w:rsid w:val="00B37BAA"/>
    <w:rsid w:val="00B46A3B"/>
    <w:rsid w:val="00B54DD9"/>
    <w:rsid w:val="00B860FD"/>
    <w:rsid w:val="00BA3337"/>
    <w:rsid w:val="00C176DB"/>
    <w:rsid w:val="00CF4FF6"/>
    <w:rsid w:val="00D11B52"/>
    <w:rsid w:val="00D2227F"/>
    <w:rsid w:val="00D304AC"/>
    <w:rsid w:val="00D42EDF"/>
    <w:rsid w:val="00D54D33"/>
    <w:rsid w:val="00D54F70"/>
    <w:rsid w:val="00D860E6"/>
    <w:rsid w:val="00DA1E2C"/>
    <w:rsid w:val="00DE6EFD"/>
    <w:rsid w:val="00DF4CF5"/>
    <w:rsid w:val="00E11546"/>
    <w:rsid w:val="00E11EE4"/>
    <w:rsid w:val="00E32CDE"/>
    <w:rsid w:val="00EA0EA9"/>
    <w:rsid w:val="00EB49D3"/>
    <w:rsid w:val="00EC78FC"/>
    <w:rsid w:val="00ED78EE"/>
    <w:rsid w:val="00EE394C"/>
    <w:rsid w:val="00F15AF0"/>
    <w:rsid w:val="00F4169B"/>
    <w:rsid w:val="00F445A4"/>
    <w:rsid w:val="00F9704D"/>
    <w:rsid w:val="00F971E5"/>
    <w:rsid w:val="00FA3483"/>
    <w:rsid w:val="00FD7703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4673-9DFE-43DE-8E2D-CA356836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A545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494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494"/>
    <w:rPr>
      <w:rFonts w:asciiTheme="majorHAnsi" w:hAnsiTheme="majorHAnsi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636F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6F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6FCD"/>
    <w:rPr>
      <w:rFonts w:asciiTheme="majorHAnsi" w:hAnsiTheme="maj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6F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6FCD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37E9-A376-4124-8216-3077C541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55</cp:revision>
  <cp:lastPrinted>2017-01-29T12:23:00Z</cp:lastPrinted>
  <dcterms:created xsi:type="dcterms:W3CDTF">2021-02-11T15:47:00Z</dcterms:created>
  <dcterms:modified xsi:type="dcterms:W3CDTF">2022-02-12T14:34:00Z</dcterms:modified>
</cp:coreProperties>
</file>