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01" w:rsidRPr="00610C0E" w:rsidRDefault="00821801" w:rsidP="00821801">
      <w:pPr>
        <w:jc w:val="both"/>
        <w:rPr>
          <w:sz w:val="24"/>
          <w:szCs w:val="24"/>
        </w:rPr>
      </w:pPr>
      <w:r w:rsidRPr="00610C0E">
        <w:rPr>
          <w:sz w:val="24"/>
          <w:szCs w:val="24"/>
        </w:rPr>
        <w:t>Na temelju članka 61. Zakona o poljoprivrednom zemljištu ("Narodne novine" broj 2</w:t>
      </w:r>
      <w:r>
        <w:rPr>
          <w:sz w:val="24"/>
          <w:szCs w:val="24"/>
        </w:rPr>
        <w:t>0/18., 115/18., 98/19.</w:t>
      </w:r>
      <w:r w:rsidRPr="00610C0E">
        <w:rPr>
          <w:sz w:val="24"/>
          <w:szCs w:val="24"/>
        </w:rPr>
        <w:t xml:space="preserve">) i Odluke o raspisivanju javnog natječaja za prodaju poljoprivrednog zemljišta u vlasništvu Republike Hrvatske na području Općine </w:t>
      </w:r>
      <w:proofErr w:type="spellStart"/>
      <w:r w:rsidRPr="00610C0E">
        <w:rPr>
          <w:sz w:val="24"/>
          <w:szCs w:val="24"/>
        </w:rPr>
        <w:t>Punitovci</w:t>
      </w:r>
      <w:proofErr w:type="spellEnd"/>
      <w:r w:rsidRPr="00610C0E">
        <w:rPr>
          <w:sz w:val="24"/>
          <w:szCs w:val="24"/>
        </w:rPr>
        <w:t xml:space="preserve">, KLASA: </w:t>
      </w:r>
      <w:r w:rsidRPr="00D514E3">
        <w:rPr>
          <w:iCs/>
          <w:sz w:val="24"/>
          <w:szCs w:val="24"/>
        </w:rPr>
        <w:t>021-05/21-01/5</w:t>
      </w:r>
      <w:r>
        <w:rPr>
          <w:sz w:val="24"/>
          <w:szCs w:val="24"/>
        </w:rPr>
        <w:t xml:space="preserve">, </w:t>
      </w:r>
      <w:r w:rsidRPr="00610C0E">
        <w:rPr>
          <w:sz w:val="24"/>
          <w:szCs w:val="24"/>
        </w:rPr>
        <w:t xml:space="preserve">URBROJ: </w:t>
      </w:r>
      <w:r w:rsidRPr="00D514E3">
        <w:rPr>
          <w:iCs/>
          <w:sz w:val="24"/>
          <w:szCs w:val="24"/>
        </w:rPr>
        <w:t>2121/05-01-21-4</w:t>
      </w:r>
      <w:r>
        <w:rPr>
          <w:iCs/>
          <w:sz w:val="16"/>
        </w:rPr>
        <w:t xml:space="preserve"> </w:t>
      </w:r>
      <w:r w:rsidRPr="00610C0E">
        <w:rPr>
          <w:sz w:val="24"/>
          <w:szCs w:val="24"/>
        </w:rPr>
        <w:t xml:space="preserve">od </w:t>
      </w:r>
      <w:r>
        <w:rPr>
          <w:sz w:val="24"/>
          <w:szCs w:val="24"/>
        </w:rPr>
        <w:t>06. prosinca 2021.</w:t>
      </w:r>
      <w:r w:rsidRPr="00610C0E">
        <w:rPr>
          <w:sz w:val="24"/>
          <w:szCs w:val="24"/>
        </w:rPr>
        <w:t xml:space="preserve"> godine, Općinsko vijeće Općine </w:t>
      </w:r>
      <w:proofErr w:type="spellStart"/>
      <w:r w:rsidRPr="00610C0E">
        <w:rPr>
          <w:sz w:val="24"/>
          <w:szCs w:val="24"/>
        </w:rPr>
        <w:t>Punitovci</w:t>
      </w:r>
      <w:proofErr w:type="spellEnd"/>
      <w:r w:rsidRPr="00610C0E">
        <w:rPr>
          <w:sz w:val="24"/>
          <w:szCs w:val="24"/>
        </w:rPr>
        <w:t xml:space="preserve"> objavljuje</w:t>
      </w:r>
    </w:p>
    <w:p w:rsidR="00821801" w:rsidRPr="00610C0E" w:rsidRDefault="00821801" w:rsidP="00821801">
      <w:pPr>
        <w:pStyle w:val="Naslov4"/>
        <w:rPr>
          <w:rFonts w:ascii="Times New Roman" w:hAnsi="Times New Roman" w:cs="Times New Roman"/>
          <w:b w:val="0"/>
          <w:sz w:val="20"/>
        </w:rPr>
      </w:pPr>
    </w:p>
    <w:p w:rsidR="00821801" w:rsidRPr="00610C0E" w:rsidRDefault="00821801" w:rsidP="00821801">
      <w:pPr>
        <w:pStyle w:val="Naslov4"/>
        <w:rPr>
          <w:rFonts w:ascii="Times New Roman" w:hAnsi="Times New Roman" w:cs="Times New Roman"/>
          <w:b w:val="0"/>
          <w:sz w:val="40"/>
        </w:rPr>
      </w:pPr>
      <w:r w:rsidRPr="00610C0E">
        <w:rPr>
          <w:rFonts w:ascii="Times New Roman" w:hAnsi="Times New Roman" w:cs="Times New Roman"/>
          <w:b w:val="0"/>
          <w:sz w:val="40"/>
        </w:rPr>
        <w:t>J A V N I   N A T J E Č A J</w:t>
      </w:r>
    </w:p>
    <w:p w:rsidR="00821801" w:rsidRPr="00610C0E" w:rsidRDefault="00821801" w:rsidP="00821801">
      <w:pPr>
        <w:jc w:val="center"/>
        <w:rPr>
          <w:sz w:val="24"/>
          <w:szCs w:val="24"/>
        </w:rPr>
      </w:pPr>
      <w:r w:rsidRPr="00610C0E">
        <w:rPr>
          <w:sz w:val="24"/>
          <w:szCs w:val="24"/>
        </w:rPr>
        <w:t>za prodaju poljoprivrednog zemljišta u vlasništvu Republike Hrvatske na području</w:t>
      </w:r>
      <w:r w:rsidRPr="00610C0E">
        <w:rPr>
          <w:sz w:val="24"/>
          <w:szCs w:val="24"/>
        </w:rPr>
        <w:br/>
        <w:t xml:space="preserve">Općine </w:t>
      </w:r>
      <w:proofErr w:type="spellStart"/>
      <w:r w:rsidRPr="00610C0E">
        <w:rPr>
          <w:sz w:val="24"/>
          <w:szCs w:val="24"/>
        </w:rPr>
        <w:t>Punitovci</w:t>
      </w:r>
      <w:proofErr w:type="spellEnd"/>
    </w:p>
    <w:p w:rsidR="00821801" w:rsidRPr="00610C0E" w:rsidRDefault="00821801" w:rsidP="00821801">
      <w:pPr>
        <w:jc w:val="center"/>
        <w:rPr>
          <w:bCs/>
          <w:szCs w:val="24"/>
        </w:rPr>
      </w:pPr>
    </w:p>
    <w:p w:rsidR="00821801" w:rsidRPr="00610C0E" w:rsidRDefault="00821801" w:rsidP="00821801">
      <w:pPr>
        <w:jc w:val="center"/>
        <w:rPr>
          <w:bCs/>
          <w:szCs w:val="24"/>
        </w:rPr>
      </w:pPr>
      <w:r w:rsidRPr="00610C0E">
        <w:rPr>
          <w:bCs/>
          <w:szCs w:val="24"/>
        </w:rPr>
        <w:t>I.</w:t>
      </w:r>
    </w:p>
    <w:p w:rsidR="00821801" w:rsidRPr="00610C0E" w:rsidRDefault="00821801" w:rsidP="00821801">
      <w:pPr>
        <w:jc w:val="both"/>
        <w:rPr>
          <w:sz w:val="24"/>
          <w:szCs w:val="24"/>
        </w:rPr>
      </w:pPr>
      <w:r w:rsidRPr="00610C0E">
        <w:rPr>
          <w:sz w:val="24"/>
          <w:szCs w:val="24"/>
        </w:rPr>
        <w:t xml:space="preserve">Predmet javnog natječaja je prodaja poljoprivrednog zemljišta u vlasništvu Republike Hrvatske na području Općine </w:t>
      </w:r>
      <w:proofErr w:type="spellStart"/>
      <w:r w:rsidRPr="00610C0E">
        <w:rPr>
          <w:sz w:val="24"/>
          <w:szCs w:val="24"/>
        </w:rPr>
        <w:t>Punitovci</w:t>
      </w:r>
      <w:proofErr w:type="spellEnd"/>
      <w:r w:rsidRPr="00610C0E">
        <w:rPr>
          <w:sz w:val="24"/>
          <w:szCs w:val="24"/>
        </w:rPr>
        <w:t xml:space="preserve"> u katastarskoj općini </w:t>
      </w:r>
      <w:proofErr w:type="spellStart"/>
      <w:r w:rsidRPr="00610C0E">
        <w:rPr>
          <w:sz w:val="24"/>
          <w:szCs w:val="24"/>
        </w:rPr>
        <w:t>Krndija</w:t>
      </w:r>
      <w:proofErr w:type="spellEnd"/>
      <w:r w:rsidRPr="00610C0E">
        <w:rPr>
          <w:sz w:val="24"/>
          <w:szCs w:val="24"/>
        </w:rPr>
        <w:t xml:space="preserve">, koje je Programom raspolaganja poljoprivrednim zemljištem u vlasništvu Republike Hrvatske za Općinu </w:t>
      </w:r>
      <w:proofErr w:type="spellStart"/>
      <w:r w:rsidRPr="00610C0E">
        <w:rPr>
          <w:sz w:val="24"/>
          <w:szCs w:val="24"/>
        </w:rPr>
        <w:t>Punitovci</w:t>
      </w:r>
      <w:proofErr w:type="spellEnd"/>
      <w:r w:rsidRPr="00610C0E">
        <w:rPr>
          <w:sz w:val="24"/>
          <w:szCs w:val="24"/>
        </w:rPr>
        <w:t xml:space="preserve"> predviđeno za prodaju. </w:t>
      </w:r>
    </w:p>
    <w:p w:rsidR="00821801" w:rsidRPr="00610C0E" w:rsidRDefault="00821801" w:rsidP="00821801">
      <w:pPr>
        <w:jc w:val="both"/>
        <w:rPr>
          <w:sz w:val="24"/>
          <w:szCs w:val="24"/>
        </w:rPr>
      </w:pPr>
    </w:p>
    <w:p w:rsidR="00821801" w:rsidRPr="00610C0E" w:rsidRDefault="00821801" w:rsidP="00821801">
      <w:pPr>
        <w:jc w:val="both"/>
        <w:rPr>
          <w:sz w:val="24"/>
          <w:szCs w:val="24"/>
        </w:rPr>
      </w:pPr>
      <w:r w:rsidRPr="00610C0E">
        <w:rPr>
          <w:sz w:val="24"/>
          <w:szCs w:val="24"/>
        </w:rPr>
        <w:t xml:space="preserve">Poljoprivredno zemljište koje je predmet ovog natječaja s popisom katastarskih čestica/PTC s popisom čestica koje čine tu PTC, s kulturama, površinama i početnim kupoprodajnim cijenama nalaze se u Prilogu 1. ovog javnog natječaja. </w:t>
      </w:r>
    </w:p>
    <w:p w:rsidR="00821801" w:rsidRPr="00610C0E" w:rsidRDefault="00821801" w:rsidP="00821801">
      <w:pPr>
        <w:jc w:val="both"/>
        <w:rPr>
          <w:sz w:val="24"/>
          <w:szCs w:val="24"/>
        </w:rPr>
      </w:pPr>
    </w:p>
    <w:p w:rsidR="00821801" w:rsidRPr="00610C0E" w:rsidRDefault="00821801" w:rsidP="00821801">
      <w:pPr>
        <w:jc w:val="both"/>
        <w:rPr>
          <w:sz w:val="24"/>
          <w:szCs w:val="24"/>
        </w:rPr>
      </w:pPr>
      <w:r w:rsidRPr="00610C0E">
        <w:rPr>
          <w:sz w:val="24"/>
          <w:szCs w:val="24"/>
        </w:rPr>
        <w:t xml:space="preserve">Katastarske čestice koje su obuhvaćene privremenim raspolaganjem označene su u rubrici Napomena. </w:t>
      </w:r>
    </w:p>
    <w:p w:rsidR="00821801" w:rsidRPr="00610C0E" w:rsidRDefault="00821801" w:rsidP="00821801">
      <w:pPr>
        <w:jc w:val="both"/>
        <w:rPr>
          <w:sz w:val="24"/>
          <w:szCs w:val="24"/>
        </w:rPr>
      </w:pPr>
    </w:p>
    <w:p w:rsidR="00821801" w:rsidRPr="00610C0E" w:rsidRDefault="00821801" w:rsidP="00821801">
      <w:pPr>
        <w:jc w:val="both"/>
        <w:rPr>
          <w:sz w:val="24"/>
          <w:szCs w:val="24"/>
        </w:rPr>
      </w:pPr>
      <w:r w:rsidRPr="00610C0E">
        <w:rPr>
          <w:sz w:val="24"/>
          <w:szCs w:val="24"/>
        </w:rPr>
        <w:t xml:space="preserve">U rubrici Napomena naznačene su katastarske čestice koje se nalaze unutar granica </w:t>
      </w:r>
      <w:proofErr w:type="spellStart"/>
      <w:r w:rsidRPr="00610C0E">
        <w:rPr>
          <w:sz w:val="24"/>
          <w:szCs w:val="24"/>
        </w:rPr>
        <w:t>III.B</w:t>
      </w:r>
      <w:proofErr w:type="spellEnd"/>
      <w:r w:rsidRPr="00610C0E">
        <w:rPr>
          <w:sz w:val="24"/>
          <w:szCs w:val="24"/>
        </w:rPr>
        <w:t xml:space="preserve"> zone sanitarne zaštite izvorišta Gorjani. Sukladno članku 12. Odluke o određivanju zona sanitarne zaštite vodocrpilišta „Gorjani“ vodoopskrbnog sustava Općine Gorjani (KLASA: 325-01/00-01/01, URBROJ: 2121/03-03-01/00 od 27. listopada 2000. Godine) u vanjskom dijelu šireg </w:t>
      </w:r>
      <w:proofErr w:type="spellStart"/>
      <w:r w:rsidRPr="00610C0E">
        <w:rPr>
          <w:sz w:val="24"/>
          <w:szCs w:val="24"/>
        </w:rPr>
        <w:t>vodozaštitnog</w:t>
      </w:r>
      <w:proofErr w:type="spellEnd"/>
      <w:r w:rsidRPr="00610C0E">
        <w:rPr>
          <w:sz w:val="24"/>
          <w:szCs w:val="24"/>
        </w:rPr>
        <w:t xml:space="preserve"> područja (III B ZONA) propisuju se sljedeće mjere zaštite: zabranjuje se upuštanje otpadnih voda u tlo, zabranjuje se formiranje </w:t>
      </w:r>
      <w:proofErr w:type="spellStart"/>
      <w:r w:rsidRPr="00610C0E">
        <w:rPr>
          <w:sz w:val="24"/>
          <w:szCs w:val="24"/>
        </w:rPr>
        <w:t>pozajmišta</w:t>
      </w:r>
      <w:proofErr w:type="spellEnd"/>
      <w:r w:rsidRPr="00610C0E">
        <w:rPr>
          <w:sz w:val="24"/>
          <w:szCs w:val="24"/>
        </w:rPr>
        <w:t xml:space="preserve"> građevinskog materijala (šljunka, </w:t>
      </w:r>
      <w:proofErr w:type="spellStart"/>
      <w:r w:rsidRPr="00610C0E">
        <w:rPr>
          <w:sz w:val="24"/>
          <w:szCs w:val="24"/>
        </w:rPr>
        <w:t>pjeska</w:t>
      </w:r>
      <w:proofErr w:type="spellEnd"/>
      <w:r w:rsidRPr="00610C0E">
        <w:rPr>
          <w:sz w:val="24"/>
          <w:szCs w:val="24"/>
        </w:rPr>
        <w:t xml:space="preserve">, gline…) i odstranjivanje površinskog pokrivača za druge namjene, zabranjuje se izgradnja pogona koji ispuštaju radioaktivne i druge vode za vodu štetne tvari ili otpadne vode (rafinerije, nuklearni reaktori, kemijske </w:t>
      </w:r>
      <w:proofErr w:type="spellStart"/>
      <w:r w:rsidRPr="00610C0E">
        <w:rPr>
          <w:sz w:val="24"/>
          <w:szCs w:val="24"/>
        </w:rPr>
        <w:t>tvornice.</w:t>
      </w:r>
      <w:proofErr w:type="spellEnd"/>
      <w:r w:rsidRPr="00610C0E">
        <w:rPr>
          <w:sz w:val="24"/>
          <w:szCs w:val="24"/>
        </w:rPr>
        <w:t>.), zabranjuje se izgradnja cjevovoda za tekućine koje su štetne za vodu.</w:t>
      </w:r>
    </w:p>
    <w:p w:rsidR="00821801" w:rsidRPr="00610C0E" w:rsidRDefault="00821801" w:rsidP="00821801">
      <w:pPr>
        <w:jc w:val="center"/>
        <w:rPr>
          <w:bCs/>
          <w:sz w:val="24"/>
          <w:szCs w:val="24"/>
        </w:rPr>
      </w:pPr>
      <w:r w:rsidRPr="00610C0E">
        <w:rPr>
          <w:bCs/>
          <w:sz w:val="24"/>
          <w:szCs w:val="24"/>
        </w:rPr>
        <w:t>II.</w:t>
      </w:r>
    </w:p>
    <w:p w:rsidR="00821801" w:rsidRPr="00610C0E" w:rsidRDefault="00821801" w:rsidP="00821801">
      <w:pPr>
        <w:jc w:val="both"/>
        <w:rPr>
          <w:sz w:val="24"/>
          <w:szCs w:val="24"/>
        </w:rPr>
      </w:pPr>
      <w:r w:rsidRPr="00610C0E">
        <w:rPr>
          <w:sz w:val="24"/>
          <w:szCs w:val="24"/>
        </w:rPr>
        <w:t>Sudionici javnog natječaja za prodaju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rsidR="00821801" w:rsidRPr="00610C0E" w:rsidRDefault="00821801" w:rsidP="00821801">
      <w:pPr>
        <w:jc w:val="both"/>
        <w:rPr>
          <w:sz w:val="24"/>
          <w:szCs w:val="24"/>
        </w:rPr>
      </w:pPr>
    </w:p>
    <w:p w:rsidR="00821801" w:rsidRPr="00610C0E" w:rsidRDefault="00821801" w:rsidP="00821801">
      <w:pPr>
        <w:jc w:val="both"/>
        <w:rPr>
          <w:sz w:val="24"/>
          <w:szCs w:val="24"/>
        </w:rPr>
      </w:pPr>
      <w:r w:rsidRPr="00610C0E">
        <w:rPr>
          <w:sz w:val="24"/>
          <w:szCs w:val="24"/>
        </w:rPr>
        <w:t>Sudionik javnog natječaja za prodaju ne može biti fizička ili pravna osoba koja je poljoprivredno zemljište u vlasništvu države dodijeljeno u zakup dala u podzakup ili je njime na drugi način neovlašteno raspolagala.</w:t>
      </w:r>
    </w:p>
    <w:p w:rsidR="00821801" w:rsidRPr="00610C0E" w:rsidRDefault="00821801" w:rsidP="00821801">
      <w:pPr>
        <w:jc w:val="both"/>
        <w:rPr>
          <w:sz w:val="24"/>
          <w:szCs w:val="24"/>
        </w:rPr>
      </w:pPr>
    </w:p>
    <w:p w:rsidR="00821801" w:rsidRPr="00610C0E" w:rsidRDefault="00821801" w:rsidP="00821801">
      <w:pPr>
        <w:jc w:val="both"/>
        <w:rPr>
          <w:sz w:val="24"/>
          <w:szCs w:val="24"/>
        </w:rPr>
      </w:pPr>
      <w:r w:rsidRPr="00610C0E">
        <w:rPr>
          <w:sz w:val="24"/>
          <w:szCs w:val="24"/>
        </w:rPr>
        <w:t>Zajednička ponuda ponuditelja na natječaju za prodaju smatra se nevažećom.</w:t>
      </w:r>
    </w:p>
    <w:p w:rsidR="00821801" w:rsidRPr="00610C0E" w:rsidRDefault="00821801" w:rsidP="00821801">
      <w:pPr>
        <w:jc w:val="both"/>
        <w:rPr>
          <w:sz w:val="24"/>
          <w:szCs w:val="24"/>
        </w:rPr>
      </w:pPr>
    </w:p>
    <w:p w:rsidR="00821801" w:rsidRPr="00610C0E" w:rsidRDefault="00821801" w:rsidP="00821801">
      <w:pPr>
        <w:jc w:val="both"/>
        <w:rPr>
          <w:sz w:val="24"/>
          <w:szCs w:val="24"/>
        </w:rPr>
      </w:pPr>
      <w:r w:rsidRPr="00610C0E">
        <w:rPr>
          <w:sz w:val="24"/>
          <w:szCs w:val="24"/>
        </w:rPr>
        <w:t>Ako ponuđena kupoprodajna cijena na javnom natječaju za prodaju od strane ponuditelja koji ispunjava natječajne uvjete prelazi dvostruki iznos početne kupoprodajne cijene, takva ponuda se smatra nevažećom.</w:t>
      </w:r>
    </w:p>
    <w:p w:rsidR="00821801" w:rsidRPr="00610C0E" w:rsidRDefault="00821801" w:rsidP="00821801">
      <w:pPr>
        <w:jc w:val="center"/>
        <w:rPr>
          <w:sz w:val="24"/>
          <w:szCs w:val="24"/>
        </w:rPr>
      </w:pPr>
      <w:r w:rsidRPr="00610C0E">
        <w:rPr>
          <w:sz w:val="24"/>
          <w:szCs w:val="24"/>
        </w:rPr>
        <w:t>III.</w:t>
      </w:r>
    </w:p>
    <w:p w:rsidR="00821801" w:rsidRPr="00610C0E" w:rsidRDefault="00821801" w:rsidP="00821801">
      <w:pPr>
        <w:jc w:val="both"/>
        <w:rPr>
          <w:sz w:val="24"/>
          <w:szCs w:val="24"/>
        </w:rPr>
      </w:pPr>
      <w:r w:rsidRPr="00610C0E">
        <w:rPr>
          <w:sz w:val="24"/>
          <w:szCs w:val="24"/>
        </w:rPr>
        <w:lastRenderedPageBreak/>
        <w:t>Pravo prvenstva na javnom natječaju za prodaju sukladno članku 64. Zakona o poljoprivrednom zemljištu ("Narodne novine" br.: 20/18., 115/18., 98/19. i 112/19.- u daljnjem tekstu Zakon) imaju fizičke i pravne osobe koje su sudjelovale u natječaju sljedećim redoslijedom:</w:t>
      </w:r>
    </w:p>
    <w:p w:rsidR="00821801" w:rsidRPr="00610C0E" w:rsidRDefault="00821801" w:rsidP="00821801">
      <w:pPr>
        <w:jc w:val="both"/>
        <w:rPr>
          <w:sz w:val="24"/>
          <w:szCs w:val="24"/>
        </w:rPr>
      </w:pPr>
      <w:r w:rsidRPr="00610C0E">
        <w:rPr>
          <w:sz w:val="24"/>
          <w:szCs w:val="24"/>
        </w:rPr>
        <w:t>a) dosadašnji posjednik ako je u mirnom posjedu na temelju ugovora koji su istekli, a sklopljeni su na temelju prije provedenog javnog natječaja, na temelju ugovora o prioritetnoj koncesiji i na temelju ugovora o privremenom korištenju poljoprivrednog zemljišta u vlasništvu države koji su bili sklopljeni na temelju isteklih ugovora, sukladno zakonu kojim se propisuje raspolaganje poljoprivrednim zemljištem, i koji su ispunili sve obveze iz ugovora koji je istekao</w:t>
      </w:r>
    </w:p>
    <w:p w:rsidR="00821801" w:rsidRPr="00610C0E" w:rsidRDefault="00821801" w:rsidP="00821801">
      <w:pPr>
        <w:jc w:val="both"/>
        <w:rPr>
          <w:sz w:val="24"/>
          <w:szCs w:val="24"/>
        </w:rPr>
      </w:pPr>
      <w:r w:rsidRPr="00610C0E">
        <w:rPr>
          <w:sz w:val="24"/>
          <w:szCs w:val="24"/>
        </w:rPr>
        <w:t xml:space="preserve">b)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Općine </w:t>
      </w:r>
      <w:proofErr w:type="spellStart"/>
      <w:r w:rsidRPr="00610C0E">
        <w:rPr>
          <w:sz w:val="24"/>
          <w:szCs w:val="24"/>
        </w:rPr>
        <w:t>Punitovci</w:t>
      </w:r>
      <w:proofErr w:type="spellEnd"/>
      <w:r w:rsidRPr="00610C0E">
        <w:rPr>
          <w:sz w:val="24"/>
          <w:szCs w:val="24"/>
        </w:rPr>
        <w:t xml:space="preserve"> najmanje tri godine do objave javnog natječaja</w:t>
      </w:r>
    </w:p>
    <w:p w:rsidR="00821801" w:rsidRPr="00610C0E" w:rsidRDefault="00821801" w:rsidP="00821801">
      <w:pPr>
        <w:jc w:val="both"/>
        <w:rPr>
          <w:sz w:val="24"/>
          <w:szCs w:val="24"/>
        </w:rPr>
      </w:pPr>
      <w:r w:rsidRPr="00610C0E">
        <w:rPr>
          <w:sz w:val="24"/>
          <w:szCs w:val="24"/>
        </w:rPr>
        <w:t>c) nositelj obiteljskoga poljoprivrednog gospodarstva koji se bavi poljoprivrednom proizvodnjom kao primarnom djelatnošću, upisan je u Upisnik poljoprivrednika najmanje tri godine do objave javnog natječaja</w:t>
      </w:r>
    </w:p>
    <w:p w:rsidR="00821801" w:rsidRPr="00610C0E" w:rsidRDefault="00821801" w:rsidP="00821801">
      <w:pPr>
        <w:jc w:val="both"/>
        <w:rPr>
          <w:sz w:val="24"/>
          <w:szCs w:val="24"/>
        </w:rPr>
      </w:pPr>
      <w:r w:rsidRPr="00610C0E">
        <w:rPr>
          <w:sz w:val="24"/>
          <w:szCs w:val="24"/>
        </w:rPr>
        <w:t xml:space="preserve">d) fizičke ili pravne osobe koje imaju prebivalište ili sjedište ili proizvodni objekt u funkciji poljoprivredne proizvodnje na području Općine </w:t>
      </w:r>
      <w:proofErr w:type="spellStart"/>
      <w:r w:rsidRPr="00610C0E">
        <w:rPr>
          <w:sz w:val="24"/>
          <w:szCs w:val="24"/>
        </w:rPr>
        <w:t>Punitovci</w:t>
      </w:r>
      <w:proofErr w:type="spellEnd"/>
      <w:r w:rsidRPr="00610C0E">
        <w:rPr>
          <w:sz w:val="24"/>
          <w:szCs w:val="24"/>
        </w:rPr>
        <w:t xml:space="preserve"> najmanje tri godine do objave javnog natječaja</w:t>
      </w:r>
    </w:p>
    <w:p w:rsidR="00821801" w:rsidRPr="00610C0E" w:rsidRDefault="00821801" w:rsidP="00821801">
      <w:pPr>
        <w:jc w:val="both"/>
        <w:rPr>
          <w:sz w:val="24"/>
          <w:szCs w:val="24"/>
        </w:rPr>
      </w:pPr>
      <w:r w:rsidRPr="00610C0E">
        <w:rPr>
          <w:sz w:val="24"/>
          <w:szCs w:val="24"/>
        </w:rPr>
        <w:t>e) zadruge i trgovačka društva registrirana za obavljanje poljoprivredne djelatnosti i upisana u Upisnik poljoprivrednika najmanje tri godine do objave javnog natječaja</w:t>
      </w:r>
    </w:p>
    <w:p w:rsidR="00821801" w:rsidRPr="00610C0E" w:rsidRDefault="00821801" w:rsidP="00821801">
      <w:pPr>
        <w:jc w:val="both"/>
        <w:rPr>
          <w:sz w:val="24"/>
          <w:szCs w:val="24"/>
        </w:rPr>
      </w:pPr>
      <w:r w:rsidRPr="00610C0E">
        <w:rPr>
          <w:sz w:val="24"/>
          <w:szCs w:val="24"/>
        </w:rPr>
        <w:t>f) fizičke i pravne osobe koje se bave poljoprivrednom proizvodnjom kraće od tri godine do objave javnog natječaja</w:t>
      </w:r>
    </w:p>
    <w:p w:rsidR="00821801" w:rsidRPr="00610C0E" w:rsidRDefault="00821801" w:rsidP="00821801">
      <w:pPr>
        <w:jc w:val="both"/>
        <w:rPr>
          <w:sz w:val="24"/>
          <w:szCs w:val="24"/>
        </w:rPr>
      </w:pPr>
      <w:r w:rsidRPr="00610C0E">
        <w:rPr>
          <w:sz w:val="24"/>
          <w:szCs w:val="24"/>
        </w:rPr>
        <w:t>g) ostale fizičke i pravne osobe koje se namjeravaju baviti poljoprivrednom proizvodnjom.</w:t>
      </w:r>
    </w:p>
    <w:p w:rsidR="00821801" w:rsidRPr="00610C0E" w:rsidRDefault="00821801" w:rsidP="00821801">
      <w:pPr>
        <w:jc w:val="both"/>
        <w:rPr>
          <w:sz w:val="24"/>
          <w:szCs w:val="24"/>
        </w:rPr>
      </w:pPr>
      <w:r w:rsidRPr="00610C0E">
        <w:rPr>
          <w:sz w:val="24"/>
          <w:szCs w:val="24"/>
        </w:rPr>
        <w:t xml:space="preserve"> Ako je više osoba iz stavka 1. Ove točke u istom redoslijedu prvenstvenog prava kupnje, prednost se utvrđuje prema sljedećem redoslijedu:</w:t>
      </w:r>
    </w:p>
    <w:p w:rsidR="00821801" w:rsidRPr="00610C0E" w:rsidRDefault="00821801" w:rsidP="00821801">
      <w:pPr>
        <w:jc w:val="both"/>
        <w:rPr>
          <w:sz w:val="24"/>
          <w:szCs w:val="24"/>
        </w:rPr>
      </w:pPr>
      <w:r w:rsidRPr="00610C0E">
        <w:rPr>
          <w:sz w:val="24"/>
          <w:szCs w:val="24"/>
        </w:rPr>
        <w:t>a) imaju ekonomsku vrijednost poljoprivrednog gospodarstva između 8000 do 100.000 eura</w:t>
      </w:r>
    </w:p>
    <w:p w:rsidR="00821801" w:rsidRPr="00610C0E" w:rsidRDefault="00821801" w:rsidP="00821801">
      <w:pPr>
        <w:jc w:val="both"/>
        <w:rPr>
          <w:sz w:val="24"/>
          <w:szCs w:val="24"/>
        </w:rPr>
      </w:pPr>
      <w:r w:rsidRPr="00610C0E">
        <w:rPr>
          <w:sz w:val="24"/>
          <w:szCs w:val="24"/>
        </w:rPr>
        <w:t>b) pravna ili fizička osoba koja se bavi poljoprivrednom proizvodnjom sljedećim redoslijedom:</w:t>
      </w:r>
    </w:p>
    <w:p w:rsidR="00821801" w:rsidRPr="00610C0E" w:rsidRDefault="00821801" w:rsidP="00821801">
      <w:pPr>
        <w:jc w:val="both"/>
        <w:rPr>
          <w:sz w:val="24"/>
          <w:szCs w:val="24"/>
        </w:rPr>
      </w:pPr>
      <w:r w:rsidRPr="00610C0E">
        <w:rPr>
          <w:sz w:val="24"/>
          <w:szCs w:val="24"/>
        </w:rPr>
        <w:t>1. povrtlarstvom</w:t>
      </w:r>
    </w:p>
    <w:p w:rsidR="00821801" w:rsidRPr="00610C0E" w:rsidRDefault="00821801" w:rsidP="00821801">
      <w:pPr>
        <w:jc w:val="both"/>
        <w:rPr>
          <w:sz w:val="24"/>
          <w:szCs w:val="24"/>
        </w:rPr>
      </w:pPr>
      <w:r w:rsidRPr="00610C0E">
        <w:rPr>
          <w:sz w:val="24"/>
          <w:szCs w:val="24"/>
        </w:rPr>
        <w:t>2. voćarstvom (osim oraha)</w:t>
      </w:r>
    </w:p>
    <w:p w:rsidR="00821801" w:rsidRPr="00610C0E" w:rsidRDefault="00821801" w:rsidP="00821801">
      <w:pPr>
        <w:jc w:val="both"/>
        <w:rPr>
          <w:sz w:val="24"/>
          <w:szCs w:val="24"/>
        </w:rPr>
      </w:pPr>
      <w:r w:rsidRPr="00610C0E">
        <w:rPr>
          <w:sz w:val="24"/>
          <w:szCs w:val="24"/>
        </w:rPr>
        <w:t>3. vinogradarstvom</w:t>
      </w:r>
    </w:p>
    <w:p w:rsidR="00821801" w:rsidRPr="00610C0E" w:rsidRDefault="00821801" w:rsidP="00821801">
      <w:pPr>
        <w:jc w:val="both"/>
        <w:rPr>
          <w:sz w:val="24"/>
          <w:szCs w:val="24"/>
        </w:rPr>
      </w:pPr>
      <w:r w:rsidRPr="00610C0E">
        <w:rPr>
          <w:sz w:val="24"/>
          <w:szCs w:val="24"/>
        </w:rPr>
        <w:t>4. maslinarstvom</w:t>
      </w:r>
    </w:p>
    <w:p w:rsidR="00821801" w:rsidRPr="00610C0E" w:rsidRDefault="00821801" w:rsidP="00821801">
      <w:pPr>
        <w:jc w:val="both"/>
        <w:rPr>
          <w:sz w:val="24"/>
          <w:szCs w:val="24"/>
        </w:rPr>
      </w:pPr>
      <w:r w:rsidRPr="00610C0E">
        <w:rPr>
          <w:sz w:val="24"/>
          <w:szCs w:val="24"/>
        </w:rPr>
        <w:t>c) pravna ili fizička osoba koja se bavi sjemenskom proizvodnjom</w:t>
      </w:r>
    </w:p>
    <w:p w:rsidR="00821801" w:rsidRPr="00610C0E" w:rsidRDefault="00821801" w:rsidP="00821801">
      <w:pPr>
        <w:jc w:val="both"/>
        <w:rPr>
          <w:sz w:val="24"/>
          <w:szCs w:val="24"/>
        </w:rPr>
      </w:pPr>
      <w:r w:rsidRPr="00610C0E">
        <w:rPr>
          <w:sz w:val="24"/>
          <w:szCs w:val="24"/>
        </w:rPr>
        <w:t>d) obrazovanje iz područja poljoprivrede, veterinarstva i prehrambene tehnologije, a najmanje SSS</w:t>
      </w:r>
    </w:p>
    <w:p w:rsidR="00821801" w:rsidRPr="00610C0E" w:rsidRDefault="00821801" w:rsidP="00821801">
      <w:pPr>
        <w:jc w:val="both"/>
        <w:rPr>
          <w:sz w:val="24"/>
          <w:szCs w:val="24"/>
        </w:rPr>
      </w:pPr>
      <w:r w:rsidRPr="00610C0E">
        <w:rPr>
          <w:sz w:val="24"/>
          <w:szCs w:val="24"/>
        </w:rPr>
        <w:t>e) nositelj obiteljskog poljoprivrednog gospodarstva koji je hrvatski branitelj iz Domovinskog rata, ili je dijete smrtno stradalog ili nestalog hrvatskog branitelja</w:t>
      </w:r>
    </w:p>
    <w:p w:rsidR="00821801" w:rsidRPr="00610C0E" w:rsidRDefault="00821801" w:rsidP="00821801">
      <w:pPr>
        <w:jc w:val="both"/>
        <w:rPr>
          <w:sz w:val="24"/>
          <w:szCs w:val="24"/>
        </w:rPr>
      </w:pPr>
      <w:r w:rsidRPr="00610C0E">
        <w:rPr>
          <w:sz w:val="24"/>
          <w:szCs w:val="24"/>
        </w:rPr>
        <w:t>f) veći broj članova obiteljskog poljoprivrednog gospodarstva</w:t>
      </w:r>
    </w:p>
    <w:p w:rsidR="00821801" w:rsidRPr="00610C0E" w:rsidRDefault="00821801" w:rsidP="00821801">
      <w:pPr>
        <w:jc w:val="both"/>
        <w:rPr>
          <w:sz w:val="24"/>
          <w:szCs w:val="24"/>
        </w:rPr>
      </w:pPr>
      <w:r w:rsidRPr="00610C0E">
        <w:rPr>
          <w:sz w:val="24"/>
          <w:szCs w:val="24"/>
        </w:rPr>
        <w:t>g) dulje vrijeme upisan u Upisnik poljoprivrednika.</w:t>
      </w:r>
    </w:p>
    <w:p w:rsidR="00821801" w:rsidRPr="00610C0E" w:rsidRDefault="00821801" w:rsidP="00821801">
      <w:pPr>
        <w:jc w:val="center"/>
        <w:rPr>
          <w:sz w:val="24"/>
          <w:szCs w:val="24"/>
        </w:rPr>
      </w:pPr>
      <w:r w:rsidRPr="00610C0E">
        <w:rPr>
          <w:sz w:val="24"/>
          <w:szCs w:val="24"/>
        </w:rPr>
        <w:t>IV.</w:t>
      </w:r>
    </w:p>
    <w:p w:rsidR="00821801" w:rsidRPr="00610C0E" w:rsidRDefault="00821801" w:rsidP="00821801">
      <w:pPr>
        <w:jc w:val="both"/>
        <w:rPr>
          <w:sz w:val="24"/>
          <w:szCs w:val="24"/>
        </w:rPr>
      </w:pPr>
      <w:r w:rsidRPr="00610C0E">
        <w:rPr>
          <w:sz w:val="24"/>
          <w:szCs w:val="24"/>
        </w:rPr>
        <w:t>Fizička ili pravna osoba ima pravo prvenstva kupnje prema utvrđenom redoslijedu  iz točke III. ovog natječaja uz uvjet da prihvati najvišu cijenu koju je ponudio bilo koji od ponuđača koji ispunjava natječajne uvjete.</w:t>
      </w:r>
    </w:p>
    <w:p w:rsidR="00821801" w:rsidRPr="00610C0E" w:rsidRDefault="00821801" w:rsidP="00821801">
      <w:pPr>
        <w:jc w:val="center"/>
        <w:rPr>
          <w:sz w:val="24"/>
          <w:szCs w:val="24"/>
        </w:rPr>
      </w:pPr>
      <w:r w:rsidRPr="00610C0E">
        <w:rPr>
          <w:sz w:val="24"/>
          <w:szCs w:val="24"/>
        </w:rPr>
        <w:t>V.</w:t>
      </w:r>
    </w:p>
    <w:p w:rsidR="00821801" w:rsidRPr="00610C0E" w:rsidRDefault="00821801" w:rsidP="00821801">
      <w:pPr>
        <w:rPr>
          <w:sz w:val="24"/>
          <w:szCs w:val="24"/>
        </w:rPr>
      </w:pPr>
      <w:r w:rsidRPr="00610C0E">
        <w:rPr>
          <w:sz w:val="24"/>
          <w:szCs w:val="24"/>
        </w:rPr>
        <w:t xml:space="preserve">Ponuda na javni natječaj obavezno treba sadržavati: ime/naziv, adresu i OIB ponuditelja, katastarsku česticu za koju se dostavlja ponuda, ponuđenu cijenu za svaku katastarsku česticu </w:t>
      </w:r>
      <w:r w:rsidRPr="00610C0E">
        <w:rPr>
          <w:sz w:val="24"/>
          <w:szCs w:val="24"/>
        </w:rPr>
        <w:lastRenderedPageBreak/>
        <w:t>za koju se dostavlja ponuda, gospodarski program za svaku katastarsku česticu za koju se dostavlja ponuda i popis dokumentacije dostavljen uz ponudu.</w:t>
      </w:r>
    </w:p>
    <w:p w:rsidR="00821801" w:rsidRPr="00610C0E" w:rsidRDefault="00821801" w:rsidP="00821801">
      <w:pPr>
        <w:jc w:val="center"/>
        <w:rPr>
          <w:sz w:val="24"/>
          <w:szCs w:val="24"/>
        </w:rPr>
      </w:pPr>
      <w:r w:rsidRPr="00610C0E">
        <w:rPr>
          <w:sz w:val="24"/>
          <w:szCs w:val="24"/>
        </w:rPr>
        <w:t>VI.</w:t>
      </w:r>
    </w:p>
    <w:p w:rsidR="00821801" w:rsidRPr="00610C0E" w:rsidRDefault="00821801" w:rsidP="00821801">
      <w:pPr>
        <w:rPr>
          <w:sz w:val="24"/>
          <w:szCs w:val="24"/>
        </w:rPr>
      </w:pPr>
      <w:r w:rsidRPr="00610C0E">
        <w:rPr>
          <w:sz w:val="24"/>
          <w:szCs w:val="24"/>
        </w:rPr>
        <w:t>Osobe koje sudjeluju u javnom natječaju dužne su sukladno članku 4. Pravilnika o provođenju javnog natječaja za prodaju poljoprivrednog zemljišta u vlasništvu Republike Hrvatske ("Narodne novine"broj 92/18.) uz ponudu za ispunjavanje uvjeta za ostvarivanje prava prvenstva priložiti dokumentaciju navedenu u Tablici 1 koja se nalazi u prilogu ovoga natječaja i čini njegov sastavni dio.</w:t>
      </w:r>
    </w:p>
    <w:p w:rsidR="00821801" w:rsidRPr="00610C0E" w:rsidRDefault="00821801" w:rsidP="00821801">
      <w:pPr>
        <w:rPr>
          <w:sz w:val="24"/>
          <w:szCs w:val="24"/>
        </w:rPr>
      </w:pPr>
      <w:r w:rsidRPr="00610C0E">
        <w:rPr>
          <w:sz w:val="24"/>
          <w:szCs w:val="24"/>
        </w:rPr>
        <w:t>Sudionici javnog natječaja dužni su za sudjelovanje na javnom natječaju priložiti i sljedeću dokumentaciju:</w:t>
      </w:r>
    </w:p>
    <w:p w:rsidR="00821801" w:rsidRPr="00610C0E" w:rsidRDefault="00821801" w:rsidP="00821801">
      <w:pPr>
        <w:numPr>
          <w:ilvl w:val="0"/>
          <w:numId w:val="1"/>
        </w:numPr>
        <w:rPr>
          <w:sz w:val="24"/>
          <w:szCs w:val="24"/>
        </w:rPr>
      </w:pPr>
      <w:r w:rsidRPr="00610C0E">
        <w:rPr>
          <w:sz w:val="24"/>
          <w:szCs w:val="24"/>
        </w:rPr>
        <w:t xml:space="preserve">potvrdu Općine </w:t>
      </w:r>
      <w:proofErr w:type="spellStart"/>
      <w:r w:rsidRPr="00610C0E">
        <w:rPr>
          <w:sz w:val="24"/>
          <w:szCs w:val="24"/>
        </w:rPr>
        <w:t>Punitovci</w:t>
      </w:r>
      <w:proofErr w:type="spellEnd"/>
      <w:r w:rsidRPr="00610C0E">
        <w:rPr>
          <w:sz w:val="24"/>
          <w:szCs w:val="24"/>
        </w:rPr>
        <w:t xml:space="preserve"> o podmirenju svih obveza s osnove korištenja poljoprivrednog zemljišta u vlasništvu države;</w:t>
      </w:r>
    </w:p>
    <w:p w:rsidR="00821801" w:rsidRPr="00610C0E" w:rsidRDefault="00821801" w:rsidP="00821801">
      <w:pPr>
        <w:numPr>
          <w:ilvl w:val="0"/>
          <w:numId w:val="1"/>
        </w:numPr>
        <w:rPr>
          <w:sz w:val="24"/>
          <w:szCs w:val="24"/>
        </w:rPr>
      </w:pPr>
      <w:r w:rsidRPr="00610C0E">
        <w:rPr>
          <w:sz w:val="24"/>
          <w:szCs w:val="24"/>
        </w:rPr>
        <w:t>potvrdu Porezne uprave o podmirenju svih obveza s osnove javnih davanja;</w:t>
      </w:r>
    </w:p>
    <w:p w:rsidR="00821801" w:rsidRPr="00610C0E" w:rsidRDefault="00821801" w:rsidP="00821801">
      <w:pPr>
        <w:numPr>
          <w:ilvl w:val="0"/>
          <w:numId w:val="1"/>
        </w:numPr>
        <w:rPr>
          <w:sz w:val="24"/>
          <w:szCs w:val="24"/>
        </w:rPr>
      </w:pPr>
      <w:r w:rsidRPr="00610C0E">
        <w:rPr>
          <w:sz w:val="24"/>
          <w:szCs w:val="24"/>
        </w:rPr>
        <w:t>očitovanje nadležnog državnog odvjetništva da se protiv njih ne vodi postupak zbog predaje u posjed poljoprivrednog zemljišta;</w:t>
      </w:r>
    </w:p>
    <w:p w:rsidR="00821801" w:rsidRPr="000A2643" w:rsidRDefault="00821801" w:rsidP="00821801">
      <w:pPr>
        <w:numPr>
          <w:ilvl w:val="0"/>
          <w:numId w:val="1"/>
        </w:numPr>
        <w:rPr>
          <w:sz w:val="24"/>
          <w:szCs w:val="24"/>
        </w:rPr>
      </w:pPr>
      <w:r w:rsidRPr="000A2643">
        <w:rPr>
          <w:sz w:val="24"/>
          <w:szCs w:val="24"/>
        </w:rPr>
        <w:t>izjavu da nemaju duga s osnova korištenja poljoprivrednog zemljišta na području Republike Hrvatske (Obrazac 1),</w:t>
      </w:r>
    </w:p>
    <w:p w:rsidR="00821801" w:rsidRPr="00610C0E" w:rsidRDefault="00821801" w:rsidP="00821801">
      <w:pPr>
        <w:numPr>
          <w:ilvl w:val="0"/>
          <w:numId w:val="1"/>
        </w:numPr>
        <w:rPr>
          <w:sz w:val="24"/>
          <w:szCs w:val="24"/>
        </w:rPr>
      </w:pPr>
      <w:r w:rsidRPr="00610C0E">
        <w:rPr>
          <w:sz w:val="24"/>
          <w:szCs w:val="24"/>
        </w:rPr>
        <w:t>izjavu o površinama poljoprivrednog zemljišta u vlasništvu države kupljenim po provedenim natječajima (Obrazac 2),</w:t>
      </w:r>
    </w:p>
    <w:p w:rsidR="00821801" w:rsidRPr="00610C0E" w:rsidRDefault="00821801" w:rsidP="00821801">
      <w:pPr>
        <w:numPr>
          <w:ilvl w:val="0"/>
          <w:numId w:val="1"/>
        </w:numPr>
        <w:rPr>
          <w:sz w:val="24"/>
          <w:szCs w:val="24"/>
        </w:rPr>
      </w:pPr>
      <w:r w:rsidRPr="00610C0E">
        <w:rPr>
          <w:sz w:val="24"/>
          <w:szCs w:val="24"/>
        </w:rPr>
        <w:t>gospodarski program korištenja poljoprivrednog zemljišta, na propisanom obrascu koji je sastavni dio natječaja.</w:t>
      </w:r>
    </w:p>
    <w:p w:rsidR="00821801" w:rsidRPr="00610C0E" w:rsidRDefault="00821801" w:rsidP="00821801">
      <w:pPr>
        <w:rPr>
          <w:sz w:val="24"/>
          <w:szCs w:val="24"/>
        </w:rPr>
      </w:pPr>
      <w:r w:rsidRPr="00610C0E">
        <w:rPr>
          <w:sz w:val="24"/>
          <w:szCs w:val="24"/>
        </w:rPr>
        <w:t>Potpis na izjavama iz ove točke natječaja ne mora biti ovjeren kod javnog bilježnika.</w:t>
      </w:r>
    </w:p>
    <w:p w:rsidR="00821801" w:rsidRPr="00610C0E" w:rsidRDefault="00821801" w:rsidP="00821801">
      <w:pPr>
        <w:jc w:val="center"/>
        <w:rPr>
          <w:sz w:val="24"/>
          <w:szCs w:val="24"/>
        </w:rPr>
      </w:pPr>
    </w:p>
    <w:p w:rsidR="00821801" w:rsidRPr="00610C0E" w:rsidRDefault="00821801" w:rsidP="00821801">
      <w:pPr>
        <w:jc w:val="center"/>
        <w:rPr>
          <w:sz w:val="24"/>
          <w:szCs w:val="24"/>
        </w:rPr>
      </w:pPr>
      <w:r w:rsidRPr="00610C0E">
        <w:rPr>
          <w:sz w:val="24"/>
          <w:szCs w:val="24"/>
        </w:rPr>
        <w:t>VII.</w:t>
      </w:r>
    </w:p>
    <w:p w:rsidR="00821801" w:rsidRPr="00610C0E" w:rsidRDefault="00821801" w:rsidP="00821801">
      <w:pPr>
        <w:tabs>
          <w:tab w:val="left" w:pos="0"/>
        </w:tabs>
        <w:jc w:val="both"/>
        <w:rPr>
          <w:sz w:val="24"/>
          <w:szCs w:val="24"/>
        </w:rPr>
      </w:pPr>
      <w:r w:rsidRPr="00610C0E">
        <w:rPr>
          <w:sz w:val="24"/>
          <w:szCs w:val="24"/>
        </w:rPr>
        <w:t>Maksimalna površina poljoprivrednog zemljišta koju neka osoba može kupiti na području Republike Hrvatske iznosi maksimalno do 50 ha za kontinentalno područje i do 5 ha za priobalno područje.</w:t>
      </w:r>
    </w:p>
    <w:p w:rsidR="00821801" w:rsidRPr="00610C0E" w:rsidRDefault="00821801" w:rsidP="00821801">
      <w:pPr>
        <w:tabs>
          <w:tab w:val="left" w:pos="0"/>
        </w:tabs>
        <w:jc w:val="both"/>
        <w:rPr>
          <w:sz w:val="24"/>
          <w:szCs w:val="24"/>
        </w:rPr>
      </w:pPr>
      <w:r w:rsidRPr="00610C0E">
        <w:rPr>
          <w:sz w:val="24"/>
          <w:szCs w:val="24"/>
        </w:rPr>
        <w:t>U maksimalnu površinu iz stavka 1. ove točke uračunavaju se sve površine državnoga poljoprivrednog zemljišta koje je pojedina fizička ili pravna osoba kupila po natječajima provedenim do stupanja na snagu Zakona.</w:t>
      </w:r>
    </w:p>
    <w:p w:rsidR="00821801" w:rsidRPr="00610C0E" w:rsidRDefault="00821801" w:rsidP="00821801">
      <w:pPr>
        <w:tabs>
          <w:tab w:val="left" w:pos="0"/>
        </w:tabs>
        <w:jc w:val="both"/>
        <w:rPr>
          <w:sz w:val="24"/>
          <w:szCs w:val="24"/>
        </w:rPr>
      </w:pPr>
      <w:r w:rsidRPr="00610C0E">
        <w:rPr>
          <w:sz w:val="24"/>
          <w:szCs w:val="24"/>
        </w:rPr>
        <w:t>Priobalnim područjem smatraju se jedinice lokalne samouprave koje imaju izlaz na more, otoci i poluotoci, dok se ostala područja smatraju kontinentalnim područjem. Iznimno na poluotoku Istri jedinice lokalne samouprave koje imaju izlaz na more smatraju se priobalnim područjem, dok se ostala područja smatraju kontinentalnim područjem.</w:t>
      </w:r>
    </w:p>
    <w:p w:rsidR="00821801" w:rsidRPr="00610C0E" w:rsidRDefault="00821801" w:rsidP="00821801">
      <w:pPr>
        <w:jc w:val="center"/>
        <w:rPr>
          <w:sz w:val="24"/>
          <w:szCs w:val="24"/>
        </w:rPr>
      </w:pPr>
      <w:r w:rsidRPr="00610C0E">
        <w:rPr>
          <w:sz w:val="24"/>
          <w:szCs w:val="24"/>
        </w:rPr>
        <w:t>VIII.</w:t>
      </w:r>
    </w:p>
    <w:p w:rsidR="00821801" w:rsidRPr="00610C0E" w:rsidRDefault="00821801" w:rsidP="00821801">
      <w:pPr>
        <w:jc w:val="both"/>
        <w:rPr>
          <w:sz w:val="24"/>
          <w:szCs w:val="24"/>
        </w:rPr>
      </w:pPr>
      <w:r w:rsidRPr="00610C0E">
        <w:rPr>
          <w:sz w:val="24"/>
          <w:szCs w:val="24"/>
        </w:rPr>
        <w:t>Kupoprodajna cijena za prodaju poljoprivrednog zemljišta plaća se jednokratno u roku 30 dana od dana sklapanja ugovora o prodaji.</w:t>
      </w:r>
    </w:p>
    <w:p w:rsidR="00821801" w:rsidRPr="00610C0E" w:rsidRDefault="00821801" w:rsidP="00821801">
      <w:pPr>
        <w:jc w:val="center"/>
        <w:rPr>
          <w:sz w:val="24"/>
          <w:szCs w:val="24"/>
        </w:rPr>
      </w:pPr>
      <w:r w:rsidRPr="00610C0E">
        <w:rPr>
          <w:sz w:val="24"/>
          <w:szCs w:val="24"/>
        </w:rPr>
        <w:t>IX.</w:t>
      </w:r>
    </w:p>
    <w:p w:rsidR="00821801" w:rsidRPr="00610C0E" w:rsidRDefault="00821801" w:rsidP="00821801">
      <w:pPr>
        <w:jc w:val="both"/>
        <w:rPr>
          <w:sz w:val="24"/>
          <w:szCs w:val="24"/>
        </w:rPr>
      </w:pPr>
      <w:r w:rsidRPr="00610C0E">
        <w:rPr>
          <w:sz w:val="24"/>
          <w:szCs w:val="24"/>
        </w:rPr>
        <w:t xml:space="preserve">Pisane ponude šalju se poštom, preporučeno u zatvorenim omotnicama s naznakom: „Ponuda za kupnju poljoprivrednog zemljišta u vlasništvu države, ne otvaraj“ na adresu Općine </w:t>
      </w:r>
      <w:proofErr w:type="spellStart"/>
      <w:r w:rsidRPr="00610C0E">
        <w:rPr>
          <w:sz w:val="24"/>
          <w:szCs w:val="24"/>
        </w:rPr>
        <w:t>Punitovci</w:t>
      </w:r>
      <w:proofErr w:type="spellEnd"/>
      <w:r w:rsidRPr="00610C0E">
        <w:rPr>
          <w:sz w:val="24"/>
          <w:szCs w:val="24"/>
        </w:rPr>
        <w:t xml:space="preserve">, Stjepana Radića 58,  31424 </w:t>
      </w:r>
      <w:proofErr w:type="spellStart"/>
      <w:r w:rsidRPr="00610C0E">
        <w:rPr>
          <w:sz w:val="24"/>
          <w:szCs w:val="24"/>
        </w:rPr>
        <w:t>Punitovci</w:t>
      </w:r>
      <w:proofErr w:type="spellEnd"/>
      <w:r w:rsidRPr="00610C0E">
        <w:rPr>
          <w:sz w:val="24"/>
          <w:szCs w:val="24"/>
        </w:rPr>
        <w:t xml:space="preserve"> u roku od 30 dana od dana objave natječaja na oglasnoj ploči i mrežnoj stranici Općine </w:t>
      </w:r>
      <w:proofErr w:type="spellStart"/>
      <w:r w:rsidRPr="00610C0E">
        <w:rPr>
          <w:sz w:val="24"/>
          <w:szCs w:val="24"/>
        </w:rPr>
        <w:t>Punitovci</w:t>
      </w:r>
      <w:proofErr w:type="spellEnd"/>
      <w:r w:rsidRPr="00610C0E">
        <w:rPr>
          <w:sz w:val="24"/>
          <w:szCs w:val="24"/>
        </w:rPr>
        <w:t>.</w:t>
      </w:r>
    </w:p>
    <w:p w:rsidR="00821801" w:rsidRPr="00610C0E" w:rsidRDefault="00821801" w:rsidP="00821801">
      <w:pPr>
        <w:jc w:val="both"/>
        <w:rPr>
          <w:sz w:val="24"/>
          <w:szCs w:val="24"/>
        </w:rPr>
      </w:pPr>
      <w:r w:rsidRPr="00610C0E">
        <w:rPr>
          <w:sz w:val="24"/>
          <w:szCs w:val="24"/>
        </w:rPr>
        <w:t xml:space="preserve">Povjerenstvo za zakup i prodaju poljoprivrednog zemljišta u vlasništvu Republike Hrvatske na području Općine </w:t>
      </w:r>
      <w:proofErr w:type="spellStart"/>
      <w:r w:rsidRPr="00610C0E">
        <w:rPr>
          <w:sz w:val="24"/>
          <w:szCs w:val="24"/>
        </w:rPr>
        <w:t>Punitovci</w:t>
      </w:r>
      <w:proofErr w:type="spellEnd"/>
      <w:r w:rsidRPr="00610C0E">
        <w:rPr>
          <w:sz w:val="24"/>
          <w:szCs w:val="24"/>
        </w:rPr>
        <w:t xml:space="preserve"> (u daljnjem tekstu: Povjerenstvo) izvršiti će analizu ponuda dostavljenih na javnom natječaju za prodaju u roku do 60 dana od isteka roka za dostavu ponuda.</w:t>
      </w:r>
    </w:p>
    <w:p w:rsidR="00821801" w:rsidRPr="00610C0E" w:rsidRDefault="00821801" w:rsidP="00821801">
      <w:pPr>
        <w:jc w:val="both"/>
        <w:rPr>
          <w:sz w:val="24"/>
          <w:szCs w:val="24"/>
        </w:rPr>
      </w:pPr>
      <w:r w:rsidRPr="00610C0E">
        <w:rPr>
          <w:sz w:val="24"/>
          <w:szCs w:val="24"/>
        </w:rPr>
        <w:t xml:space="preserve">Javno otvaranje ponuda održat će se najranije deseti dan od dana isteka roka za dostavu ponuda. </w:t>
      </w:r>
    </w:p>
    <w:p w:rsidR="00821801" w:rsidRPr="00610C0E" w:rsidRDefault="00821801" w:rsidP="00821801">
      <w:pPr>
        <w:jc w:val="center"/>
        <w:rPr>
          <w:sz w:val="24"/>
          <w:szCs w:val="24"/>
        </w:rPr>
      </w:pPr>
      <w:r w:rsidRPr="00610C0E">
        <w:rPr>
          <w:sz w:val="24"/>
          <w:szCs w:val="24"/>
        </w:rPr>
        <w:t>X.</w:t>
      </w:r>
    </w:p>
    <w:p w:rsidR="00821801" w:rsidRPr="00610C0E" w:rsidRDefault="00821801" w:rsidP="00821801">
      <w:pPr>
        <w:jc w:val="both"/>
        <w:rPr>
          <w:sz w:val="24"/>
          <w:szCs w:val="24"/>
        </w:rPr>
      </w:pPr>
      <w:r w:rsidRPr="00610C0E">
        <w:rPr>
          <w:sz w:val="24"/>
          <w:szCs w:val="24"/>
        </w:rPr>
        <w:lastRenderedPageBreak/>
        <w:t xml:space="preserve">Odluku o izboru najpovoljnije ponude na javnom natječaju za prodaju donosi Općinsko vijeće Općine </w:t>
      </w:r>
      <w:proofErr w:type="spellStart"/>
      <w:r w:rsidRPr="00610C0E">
        <w:rPr>
          <w:sz w:val="24"/>
          <w:szCs w:val="24"/>
        </w:rPr>
        <w:t>Punitovci</w:t>
      </w:r>
      <w:proofErr w:type="spellEnd"/>
      <w:r w:rsidRPr="00610C0E">
        <w:rPr>
          <w:sz w:val="24"/>
          <w:szCs w:val="24"/>
        </w:rPr>
        <w:t xml:space="preserve"> na prijedlog Povjerenstva.</w:t>
      </w:r>
    </w:p>
    <w:p w:rsidR="00821801" w:rsidRPr="00610C0E" w:rsidRDefault="00821801" w:rsidP="00821801">
      <w:pPr>
        <w:jc w:val="both"/>
        <w:rPr>
          <w:sz w:val="24"/>
          <w:szCs w:val="24"/>
        </w:rPr>
      </w:pPr>
      <w:r w:rsidRPr="00610C0E">
        <w:rPr>
          <w:sz w:val="24"/>
          <w:szCs w:val="24"/>
        </w:rPr>
        <w:t>Odluka o izboru najpovoljnije ponude dostavit će se na prethodno mišljenje Osječko-baranjskoj županiji i na suglasnost Ministarstvu poljoprivrede.</w:t>
      </w:r>
    </w:p>
    <w:p w:rsidR="00821801" w:rsidRPr="00610C0E" w:rsidRDefault="00821801" w:rsidP="00821801">
      <w:pPr>
        <w:jc w:val="both"/>
        <w:rPr>
          <w:sz w:val="24"/>
          <w:szCs w:val="24"/>
        </w:rPr>
      </w:pPr>
      <w:r w:rsidRPr="00610C0E">
        <w:rPr>
          <w:sz w:val="24"/>
          <w:szCs w:val="24"/>
        </w:rPr>
        <w:t xml:space="preserve">O donesenoj odluci iz stavka 2. ove točke obavještavaju se svi sudionici natječaja javnom objavom na oglasnoj ploči i mrežnoj stranici Općine </w:t>
      </w:r>
      <w:proofErr w:type="spellStart"/>
      <w:r w:rsidRPr="00610C0E">
        <w:rPr>
          <w:sz w:val="24"/>
          <w:szCs w:val="24"/>
        </w:rPr>
        <w:t>Punitovci</w:t>
      </w:r>
      <w:proofErr w:type="spellEnd"/>
      <w:r w:rsidRPr="00610C0E">
        <w:rPr>
          <w:sz w:val="24"/>
          <w:szCs w:val="24"/>
        </w:rPr>
        <w:t xml:space="preserve"> </w:t>
      </w:r>
      <w:hyperlink r:id="rId5" w:history="1">
        <w:r w:rsidRPr="00610C0E">
          <w:rPr>
            <w:rStyle w:val="Hiperveza"/>
            <w:sz w:val="24"/>
            <w:szCs w:val="24"/>
          </w:rPr>
          <w:t>http://punitovci.hr/</w:t>
        </w:r>
      </w:hyperlink>
    </w:p>
    <w:p w:rsidR="00821801" w:rsidRPr="00610C0E" w:rsidRDefault="00821801" w:rsidP="00821801">
      <w:pPr>
        <w:jc w:val="both"/>
        <w:rPr>
          <w:sz w:val="24"/>
          <w:szCs w:val="24"/>
        </w:rPr>
      </w:pPr>
      <w:r w:rsidRPr="00610C0E">
        <w:rPr>
          <w:sz w:val="24"/>
          <w:szCs w:val="24"/>
        </w:rPr>
        <w:t>Protiv Odluke o izboru najpovoljnije ponude iz stavka 1. i 2. ove točke, nije dopuštena žalba, niti se može pokrenuti upravni spor. Sudionici javnog natječaja koji smatraju da su povrijeđena pravila javnog natječaja ili iz drugih zakonom predviđenih razloga mogu pred sudom pobijati ugovor o prodaji sklopljen s trećom osobom.</w:t>
      </w:r>
    </w:p>
    <w:p w:rsidR="00821801" w:rsidRPr="00610C0E" w:rsidRDefault="00821801" w:rsidP="00821801">
      <w:pPr>
        <w:jc w:val="center"/>
        <w:rPr>
          <w:sz w:val="24"/>
          <w:szCs w:val="24"/>
        </w:rPr>
      </w:pPr>
      <w:r w:rsidRPr="00610C0E">
        <w:rPr>
          <w:sz w:val="24"/>
          <w:szCs w:val="24"/>
        </w:rPr>
        <w:t>XI.</w:t>
      </w:r>
    </w:p>
    <w:p w:rsidR="00821801" w:rsidRPr="00610C0E" w:rsidRDefault="00821801" w:rsidP="00821801">
      <w:pPr>
        <w:jc w:val="both"/>
        <w:rPr>
          <w:sz w:val="24"/>
          <w:szCs w:val="24"/>
        </w:rPr>
      </w:pPr>
      <w:r w:rsidRPr="00610C0E">
        <w:rPr>
          <w:sz w:val="24"/>
          <w:szCs w:val="24"/>
        </w:rPr>
        <w:t xml:space="preserve">Nakon dobivenog pozitivnog mišljenja Osječko-baranjske županije i suglasnosti Ministarstva poljoprivrede, te po sastavljanju nacrta ugovora o prodaji na koji je nadležno županijsko državno odvjetništvo dalo pozitivno mišljenje, načelnica Općine </w:t>
      </w:r>
      <w:proofErr w:type="spellStart"/>
      <w:r w:rsidRPr="00610C0E">
        <w:rPr>
          <w:sz w:val="24"/>
          <w:szCs w:val="24"/>
        </w:rPr>
        <w:t>Punitovci</w:t>
      </w:r>
      <w:proofErr w:type="spellEnd"/>
      <w:r w:rsidRPr="00610C0E">
        <w:rPr>
          <w:sz w:val="24"/>
          <w:szCs w:val="24"/>
        </w:rPr>
        <w:t xml:space="preserve"> i najpovoljniji ponuđač sklapaju ugovor o prodaji. </w:t>
      </w:r>
    </w:p>
    <w:p w:rsidR="00821801" w:rsidRPr="00610C0E" w:rsidRDefault="00821801" w:rsidP="00821801">
      <w:pPr>
        <w:pStyle w:val="Bezproreda"/>
        <w:rPr>
          <w:rFonts w:ascii="Times New Roman" w:hAnsi="Times New Roman"/>
          <w:sz w:val="24"/>
          <w:szCs w:val="24"/>
          <w:lang w:eastAsia="hr-HR"/>
        </w:rPr>
      </w:pPr>
    </w:p>
    <w:p w:rsidR="00821801" w:rsidRPr="00610C0E" w:rsidRDefault="00821801" w:rsidP="00821801">
      <w:pPr>
        <w:jc w:val="center"/>
        <w:rPr>
          <w:sz w:val="24"/>
          <w:szCs w:val="24"/>
        </w:rPr>
      </w:pPr>
      <w:r w:rsidRPr="00610C0E">
        <w:rPr>
          <w:sz w:val="24"/>
          <w:szCs w:val="24"/>
        </w:rPr>
        <w:t>XII.</w:t>
      </w:r>
    </w:p>
    <w:p w:rsidR="00821801" w:rsidRPr="00610C0E" w:rsidRDefault="00821801" w:rsidP="00821801">
      <w:pPr>
        <w:jc w:val="both"/>
        <w:rPr>
          <w:sz w:val="24"/>
          <w:szCs w:val="24"/>
        </w:rPr>
      </w:pPr>
      <w:r w:rsidRPr="00610C0E">
        <w:rPr>
          <w:sz w:val="24"/>
          <w:szCs w:val="24"/>
        </w:rPr>
        <w:t>Kupljeno poljoprivredno zemljište ne može se otuđiti u roku od deset godina od dana sklapanja ugovora o prodaji.</w:t>
      </w:r>
    </w:p>
    <w:p w:rsidR="00821801" w:rsidRPr="00610C0E" w:rsidRDefault="00821801" w:rsidP="00821801">
      <w:pPr>
        <w:jc w:val="both"/>
        <w:rPr>
          <w:sz w:val="24"/>
          <w:szCs w:val="24"/>
        </w:rPr>
      </w:pPr>
      <w:r w:rsidRPr="00610C0E">
        <w:rPr>
          <w:sz w:val="24"/>
          <w:szCs w:val="24"/>
        </w:rPr>
        <w:t>Nakon isteka roka iz stavka 1. ove točke Republika Hrvatska ima pravo prvokupa prodanog poljoprivrednog zemljišta po tržišnoj cijeni. Ako Ministarstvo ne prihvati ponudu i ne iskoristi pravo prvokupa, kupac ne može predmetno zemljište prodati po cijeni koja je niža od one ponuđene Ministarstvu.</w:t>
      </w:r>
    </w:p>
    <w:p w:rsidR="00821801" w:rsidRPr="00610C0E" w:rsidRDefault="00821801" w:rsidP="00821801">
      <w:pPr>
        <w:jc w:val="both"/>
        <w:rPr>
          <w:sz w:val="24"/>
          <w:szCs w:val="24"/>
        </w:rPr>
      </w:pPr>
      <w:r w:rsidRPr="00610C0E">
        <w:rPr>
          <w:sz w:val="24"/>
          <w:szCs w:val="24"/>
        </w:rPr>
        <w:t>Zabrana otuđenja iz stavka 1. ove točke i pravo prvokupa iz stavka 2. ove točke upisuje se u zemljišne knjige istodobno s upisom prava vlasništva kupca.</w:t>
      </w:r>
    </w:p>
    <w:p w:rsidR="00821801" w:rsidRPr="00610C0E" w:rsidRDefault="00821801" w:rsidP="00821801">
      <w:pPr>
        <w:pStyle w:val="Bezproreda"/>
        <w:rPr>
          <w:rFonts w:ascii="Times New Roman" w:hAnsi="Times New Roman"/>
          <w:sz w:val="24"/>
          <w:szCs w:val="24"/>
          <w:lang w:eastAsia="hr-HR"/>
        </w:rPr>
      </w:pPr>
    </w:p>
    <w:p w:rsidR="00821801" w:rsidRPr="00610C0E" w:rsidRDefault="00821801" w:rsidP="00821801">
      <w:pPr>
        <w:jc w:val="center"/>
        <w:rPr>
          <w:sz w:val="24"/>
          <w:szCs w:val="24"/>
        </w:rPr>
      </w:pPr>
      <w:r w:rsidRPr="00610C0E">
        <w:rPr>
          <w:sz w:val="24"/>
          <w:szCs w:val="24"/>
        </w:rPr>
        <w:t>XIII.</w:t>
      </w:r>
    </w:p>
    <w:p w:rsidR="00821801" w:rsidRPr="00610C0E" w:rsidRDefault="00821801" w:rsidP="00821801">
      <w:pPr>
        <w:jc w:val="both"/>
        <w:rPr>
          <w:sz w:val="24"/>
          <w:szCs w:val="24"/>
        </w:rPr>
      </w:pPr>
      <w:r w:rsidRPr="00610C0E">
        <w:rPr>
          <w:sz w:val="24"/>
          <w:szCs w:val="24"/>
        </w:rPr>
        <w:t>Najpovoljniji ponuđač će biti uveden u posjed katastarskih čestica koje su obuhvaćene ugovorima o privremenom korištenju (katastarske čestice koje u koloni Napomena imaju oznaku Privremeno korištenje) nakon skidanja usjeva koji se nalazi na predmetnim česticama.</w:t>
      </w:r>
    </w:p>
    <w:p w:rsidR="00821801" w:rsidRPr="00610C0E" w:rsidRDefault="00821801" w:rsidP="00821801">
      <w:pPr>
        <w:jc w:val="center"/>
        <w:rPr>
          <w:sz w:val="24"/>
          <w:szCs w:val="24"/>
        </w:rPr>
      </w:pPr>
    </w:p>
    <w:p w:rsidR="00821801" w:rsidRPr="00610C0E" w:rsidRDefault="00821801" w:rsidP="00821801">
      <w:pPr>
        <w:jc w:val="center"/>
        <w:rPr>
          <w:sz w:val="24"/>
          <w:szCs w:val="24"/>
        </w:rPr>
      </w:pPr>
      <w:r w:rsidRPr="00610C0E">
        <w:rPr>
          <w:sz w:val="24"/>
          <w:szCs w:val="24"/>
        </w:rPr>
        <w:t>REPUBLIKA HRVATSKA</w:t>
      </w:r>
    </w:p>
    <w:p w:rsidR="00821801" w:rsidRPr="00610C0E" w:rsidRDefault="00821801" w:rsidP="00821801">
      <w:pPr>
        <w:jc w:val="center"/>
        <w:rPr>
          <w:sz w:val="24"/>
          <w:szCs w:val="24"/>
        </w:rPr>
      </w:pPr>
      <w:r w:rsidRPr="00610C0E">
        <w:rPr>
          <w:sz w:val="24"/>
          <w:szCs w:val="24"/>
        </w:rPr>
        <w:t>OSJEČKO-BARANJSKA ŽUPANIJA</w:t>
      </w:r>
    </w:p>
    <w:p w:rsidR="00821801" w:rsidRPr="00610C0E" w:rsidRDefault="00821801" w:rsidP="00821801">
      <w:pPr>
        <w:jc w:val="center"/>
        <w:rPr>
          <w:sz w:val="24"/>
          <w:szCs w:val="24"/>
        </w:rPr>
      </w:pPr>
      <w:r w:rsidRPr="00610C0E">
        <w:rPr>
          <w:sz w:val="24"/>
          <w:szCs w:val="24"/>
        </w:rPr>
        <w:t>OPĆINA PUNITOVCI</w:t>
      </w:r>
    </w:p>
    <w:p w:rsidR="00821801" w:rsidRPr="00610C0E" w:rsidRDefault="00821801" w:rsidP="00821801">
      <w:pPr>
        <w:jc w:val="center"/>
        <w:rPr>
          <w:sz w:val="24"/>
          <w:szCs w:val="24"/>
        </w:rPr>
      </w:pPr>
      <w:r w:rsidRPr="00610C0E">
        <w:rPr>
          <w:sz w:val="24"/>
          <w:szCs w:val="24"/>
        </w:rPr>
        <w:t>OPĆINSKO VIJEĆE</w:t>
      </w:r>
    </w:p>
    <w:p w:rsidR="00821801" w:rsidRPr="00610C0E" w:rsidRDefault="00821801" w:rsidP="00821801">
      <w:pPr>
        <w:jc w:val="both"/>
        <w:rPr>
          <w:sz w:val="24"/>
          <w:szCs w:val="24"/>
        </w:rPr>
      </w:pPr>
    </w:p>
    <w:p w:rsidR="00821801" w:rsidRPr="00610C0E" w:rsidRDefault="00821801" w:rsidP="00821801">
      <w:pPr>
        <w:rPr>
          <w:iCs/>
          <w:sz w:val="24"/>
          <w:szCs w:val="24"/>
        </w:rPr>
      </w:pPr>
    </w:p>
    <w:p w:rsidR="00821801" w:rsidRPr="00610C0E" w:rsidRDefault="00821801" w:rsidP="00821801">
      <w:pPr>
        <w:rPr>
          <w:iCs/>
          <w:sz w:val="24"/>
          <w:szCs w:val="24"/>
        </w:rPr>
      </w:pPr>
      <w:r w:rsidRPr="00610C0E">
        <w:rPr>
          <w:iCs/>
          <w:sz w:val="24"/>
          <w:szCs w:val="24"/>
        </w:rPr>
        <w:t xml:space="preserve">KLASA: </w:t>
      </w:r>
      <w:r>
        <w:rPr>
          <w:iCs/>
          <w:sz w:val="24"/>
          <w:szCs w:val="24"/>
        </w:rPr>
        <w:t>945-03/22-01/2</w:t>
      </w:r>
    </w:p>
    <w:p w:rsidR="00821801" w:rsidRPr="00610C0E" w:rsidRDefault="00821801" w:rsidP="00821801">
      <w:pPr>
        <w:rPr>
          <w:iCs/>
          <w:sz w:val="24"/>
          <w:szCs w:val="24"/>
        </w:rPr>
      </w:pPr>
      <w:r w:rsidRPr="00610C0E">
        <w:rPr>
          <w:iCs/>
          <w:sz w:val="24"/>
          <w:szCs w:val="24"/>
        </w:rPr>
        <w:t xml:space="preserve">URBROJ: </w:t>
      </w:r>
      <w:r>
        <w:rPr>
          <w:iCs/>
          <w:sz w:val="24"/>
          <w:szCs w:val="24"/>
        </w:rPr>
        <w:t>2158-33-01-22-1</w:t>
      </w:r>
    </w:p>
    <w:p w:rsidR="00821801" w:rsidRPr="00610C0E" w:rsidRDefault="00821801" w:rsidP="00821801">
      <w:pPr>
        <w:rPr>
          <w:iCs/>
          <w:sz w:val="24"/>
          <w:szCs w:val="24"/>
        </w:rPr>
      </w:pPr>
      <w:proofErr w:type="spellStart"/>
      <w:r>
        <w:rPr>
          <w:iCs/>
          <w:sz w:val="24"/>
          <w:szCs w:val="24"/>
        </w:rPr>
        <w:t>Punitovci</w:t>
      </w:r>
      <w:proofErr w:type="spellEnd"/>
      <w:r>
        <w:rPr>
          <w:iCs/>
          <w:sz w:val="24"/>
          <w:szCs w:val="24"/>
        </w:rPr>
        <w:t xml:space="preserve">; 28. travnja 2022. godine </w:t>
      </w:r>
    </w:p>
    <w:p w:rsidR="00821801" w:rsidRPr="00610C0E" w:rsidRDefault="00821801" w:rsidP="00821801">
      <w:pPr>
        <w:ind w:left="5310"/>
        <w:rPr>
          <w:sz w:val="24"/>
          <w:szCs w:val="24"/>
        </w:rPr>
      </w:pPr>
      <w:r w:rsidRPr="00610C0E">
        <w:rPr>
          <w:sz w:val="24"/>
          <w:szCs w:val="24"/>
        </w:rPr>
        <w:t xml:space="preserve">Predsjednik OV Općine </w:t>
      </w:r>
      <w:proofErr w:type="spellStart"/>
      <w:r w:rsidRPr="00610C0E">
        <w:rPr>
          <w:sz w:val="24"/>
          <w:szCs w:val="24"/>
        </w:rPr>
        <w:t>Punitovci</w:t>
      </w:r>
      <w:proofErr w:type="spellEnd"/>
      <w:r w:rsidRPr="00610C0E">
        <w:rPr>
          <w:sz w:val="24"/>
          <w:szCs w:val="24"/>
        </w:rPr>
        <w:t>:</w:t>
      </w:r>
    </w:p>
    <w:p w:rsidR="00821801" w:rsidRDefault="00821801" w:rsidP="00821801">
      <w:pPr>
        <w:ind w:left="5310"/>
        <w:rPr>
          <w:bCs/>
          <w:iCs/>
          <w:sz w:val="24"/>
          <w:szCs w:val="24"/>
        </w:rPr>
      </w:pPr>
      <w:r>
        <w:rPr>
          <w:bCs/>
          <w:iCs/>
          <w:sz w:val="24"/>
          <w:szCs w:val="24"/>
        </w:rPr>
        <w:t xml:space="preserve">     Zdenko Perić, </w:t>
      </w:r>
      <w:proofErr w:type="spellStart"/>
      <w:r>
        <w:rPr>
          <w:bCs/>
          <w:iCs/>
          <w:sz w:val="24"/>
          <w:szCs w:val="24"/>
        </w:rPr>
        <w:t>dipl.ing</w:t>
      </w:r>
      <w:proofErr w:type="spellEnd"/>
      <w:r>
        <w:rPr>
          <w:bCs/>
          <w:iCs/>
          <w:sz w:val="24"/>
          <w:szCs w:val="24"/>
        </w:rPr>
        <w:t xml:space="preserve">., </w:t>
      </w:r>
      <w:proofErr w:type="spellStart"/>
      <w:r>
        <w:rPr>
          <w:bCs/>
          <w:iCs/>
          <w:sz w:val="24"/>
          <w:szCs w:val="24"/>
        </w:rPr>
        <w:t>v.r</w:t>
      </w:r>
      <w:proofErr w:type="spellEnd"/>
      <w:r>
        <w:rPr>
          <w:bCs/>
          <w:iCs/>
          <w:sz w:val="24"/>
          <w:szCs w:val="24"/>
        </w:rPr>
        <w:t>.</w:t>
      </w:r>
    </w:p>
    <w:p w:rsidR="00E41BE0" w:rsidRDefault="00362F08"/>
    <w:p w:rsidR="00362F08" w:rsidRDefault="00362F08"/>
    <w:p w:rsidR="00362F08" w:rsidRDefault="00362F08"/>
    <w:p w:rsidR="00362F08" w:rsidRDefault="00362F08"/>
    <w:p w:rsidR="00362F08" w:rsidRDefault="00362F08"/>
    <w:p w:rsidR="00362F08" w:rsidRDefault="00362F08"/>
    <w:p w:rsidR="00362F08" w:rsidRDefault="00362F08"/>
    <w:p w:rsidR="00362F08" w:rsidRDefault="00362F08"/>
    <w:p w:rsidR="00362F08" w:rsidRDefault="00362F08"/>
    <w:p w:rsidR="00362F08" w:rsidRDefault="00362F08">
      <w:pPr>
        <w:sectPr w:rsidR="00362F08" w:rsidSect="005A2359">
          <w:pgSz w:w="11906" w:h="16838"/>
          <w:pgMar w:top="1417" w:right="1417" w:bottom="1417" w:left="1417" w:header="708" w:footer="708" w:gutter="0"/>
          <w:cols w:space="708"/>
          <w:docGrid w:linePitch="360"/>
        </w:sectPr>
      </w:pPr>
    </w:p>
    <w:p w:rsidR="00362F08" w:rsidRDefault="00362F08"/>
    <w:p w:rsidR="00362F08" w:rsidRPr="00EC631E" w:rsidRDefault="00362F08" w:rsidP="00362F08">
      <w:pPr>
        <w:ind w:left="5310"/>
        <w:rPr>
          <w:b/>
          <w:bCs/>
          <w:sz w:val="22"/>
          <w:szCs w:val="22"/>
        </w:rPr>
      </w:pPr>
      <w:r w:rsidRPr="00EC631E">
        <w:rPr>
          <w:b/>
          <w:bCs/>
          <w:sz w:val="22"/>
          <w:szCs w:val="22"/>
        </w:rPr>
        <w:t>PRILOG 1.</w:t>
      </w:r>
    </w:p>
    <w:p w:rsidR="00362F08" w:rsidRPr="00EC631E" w:rsidRDefault="00362F08" w:rsidP="00362F08">
      <w:pPr>
        <w:ind w:left="5310"/>
        <w:rPr>
          <w:b/>
          <w:bCs/>
          <w:sz w:val="22"/>
          <w:szCs w:val="22"/>
        </w:rPr>
      </w:pPr>
    </w:p>
    <w:tbl>
      <w:tblPr>
        <w:tblW w:w="15210" w:type="dxa"/>
        <w:tblLook w:val="04A0"/>
      </w:tblPr>
      <w:tblGrid>
        <w:gridCol w:w="601"/>
        <w:gridCol w:w="2140"/>
        <w:gridCol w:w="780"/>
        <w:gridCol w:w="1105"/>
        <w:gridCol w:w="1600"/>
        <w:gridCol w:w="960"/>
        <w:gridCol w:w="1400"/>
        <w:gridCol w:w="905"/>
        <w:gridCol w:w="1505"/>
        <w:gridCol w:w="4214"/>
      </w:tblGrid>
      <w:tr w:rsidR="00362F08" w:rsidRPr="00EC631E" w:rsidTr="00820CF0">
        <w:trPr>
          <w:trHeight w:val="1036"/>
        </w:trPr>
        <w:tc>
          <w:tcPr>
            <w:tcW w:w="601" w:type="dxa"/>
            <w:tcBorders>
              <w:top w:val="nil"/>
              <w:left w:val="single" w:sz="4" w:space="0" w:color="auto"/>
              <w:bottom w:val="single" w:sz="8" w:space="0" w:color="auto"/>
              <w:right w:val="single" w:sz="8" w:space="0" w:color="auto"/>
            </w:tcBorders>
            <w:shd w:val="clear" w:color="000000" w:fill="C0C0C0"/>
            <w:vAlign w:val="center"/>
            <w:hideMark/>
          </w:tcPr>
          <w:p w:rsidR="00362F08" w:rsidRPr="00EC631E" w:rsidRDefault="00362F08" w:rsidP="00820CF0">
            <w:pPr>
              <w:jc w:val="center"/>
              <w:rPr>
                <w:rFonts w:ascii="Calibri" w:hAnsi="Calibri" w:cs="Calibri"/>
                <w:color w:val="000000"/>
                <w:sz w:val="16"/>
                <w:szCs w:val="16"/>
              </w:rPr>
            </w:pPr>
            <w:r w:rsidRPr="00EC631E">
              <w:rPr>
                <w:rFonts w:ascii="Calibri" w:hAnsi="Calibri" w:cs="Calibri"/>
                <w:color w:val="000000"/>
                <w:sz w:val="16"/>
                <w:szCs w:val="16"/>
              </w:rPr>
              <w:t>R.BR.</w:t>
            </w:r>
          </w:p>
        </w:tc>
        <w:tc>
          <w:tcPr>
            <w:tcW w:w="2140"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Naziv katastarske općine</w:t>
            </w:r>
          </w:p>
        </w:tc>
        <w:tc>
          <w:tcPr>
            <w:tcW w:w="780"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PTC. Br.</w:t>
            </w:r>
          </w:p>
        </w:tc>
        <w:tc>
          <w:tcPr>
            <w:tcW w:w="1105"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Broj katastarske čestice</w:t>
            </w:r>
          </w:p>
        </w:tc>
        <w:tc>
          <w:tcPr>
            <w:tcW w:w="1600"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Način uporabe katastarske čestice (katastarska kultura)</w:t>
            </w:r>
          </w:p>
        </w:tc>
        <w:tc>
          <w:tcPr>
            <w:tcW w:w="960"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Površina    (ha)</w:t>
            </w:r>
          </w:p>
        </w:tc>
        <w:tc>
          <w:tcPr>
            <w:tcW w:w="1400"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 xml:space="preserve">Početna </w:t>
            </w:r>
            <w:proofErr w:type="spellStart"/>
            <w:r w:rsidRPr="009D0F19">
              <w:rPr>
                <w:color w:val="000000"/>
              </w:rPr>
              <w:t>kupoprodjana</w:t>
            </w:r>
            <w:proofErr w:type="spellEnd"/>
            <w:r w:rsidRPr="009D0F19">
              <w:rPr>
                <w:color w:val="000000"/>
              </w:rPr>
              <w:t xml:space="preserve"> cijena (kn)</w:t>
            </w:r>
          </w:p>
        </w:tc>
        <w:tc>
          <w:tcPr>
            <w:tcW w:w="905"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 xml:space="preserve">Postotak </w:t>
            </w:r>
            <w:proofErr w:type="spellStart"/>
            <w:r w:rsidRPr="009D0F19">
              <w:rPr>
                <w:color w:val="000000"/>
              </w:rPr>
              <w:t>uveć</w:t>
            </w:r>
            <w:proofErr w:type="spellEnd"/>
            <w:r w:rsidRPr="009D0F19">
              <w:rPr>
                <w:color w:val="000000"/>
              </w:rPr>
              <w:t xml:space="preserve">./    </w:t>
            </w:r>
            <w:proofErr w:type="spellStart"/>
            <w:r w:rsidRPr="009D0F19">
              <w:rPr>
                <w:color w:val="000000"/>
              </w:rPr>
              <w:t>umanj</w:t>
            </w:r>
            <w:proofErr w:type="spellEnd"/>
            <w:r w:rsidRPr="009D0F19">
              <w:rPr>
                <w:color w:val="000000"/>
              </w:rPr>
              <w:t>.</w:t>
            </w:r>
          </w:p>
        </w:tc>
        <w:tc>
          <w:tcPr>
            <w:tcW w:w="1505"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 xml:space="preserve"> Ukupna početna vrijednost poljoprivrednog zemljišta      (kn)</w:t>
            </w:r>
          </w:p>
        </w:tc>
        <w:tc>
          <w:tcPr>
            <w:tcW w:w="4214" w:type="dxa"/>
            <w:tcBorders>
              <w:top w:val="nil"/>
              <w:left w:val="nil"/>
              <w:bottom w:val="single" w:sz="8" w:space="0" w:color="auto"/>
              <w:right w:val="single" w:sz="4" w:space="0" w:color="auto"/>
            </w:tcBorders>
            <w:shd w:val="clear" w:color="000000" w:fill="C0C0C0"/>
            <w:noWrap/>
            <w:vAlign w:val="center"/>
            <w:hideMark/>
          </w:tcPr>
          <w:p w:rsidR="00362F08" w:rsidRPr="009D0F19" w:rsidRDefault="00362F08" w:rsidP="00820CF0">
            <w:pPr>
              <w:jc w:val="center"/>
              <w:rPr>
                <w:color w:val="000000"/>
              </w:rPr>
            </w:pPr>
            <w:r w:rsidRPr="009D0F19">
              <w:rPr>
                <w:color w:val="000000"/>
              </w:rPr>
              <w:t>Napomena</w:t>
            </w:r>
          </w:p>
        </w:tc>
      </w:tr>
      <w:tr w:rsidR="00362F08" w:rsidRPr="00EC631E" w:rsidTr="00820CF0">
        <w:trPr>
          <w:trHeight w:val="315"/>
        </w:trPr>
        <w:tc>
          <w:tcPr>
            <w:tcW w:w="601" w:type="dxa"/>
            <w:tcBorders>
              <w:top w:val="nil"/>
              <w:left w:val="single" w:sz="4" w:space="0" w:color="auto"/>
              <w:bottom w:val="single" w:sz="8" w:space="0" w:color="auto"/>
              <w:right w:val="single" w:sz="8" w:space="0" w:color="auto"/>
            </w:tcBorders>
            <w:shd w:val="clear" w:color="000000" w:fill="C0C0C0"/>
            <w:noWrap/>
            <w:vAlign w:val="center"/>
            <w:hideMark/>
          </w:tcPr>
          <w:p w:rsidR="00362F08" w:rsidRPr="00EC631E" w:rsidRDefault="00362F08" w:rsidP="00820CF0">
            <w:pPr>
              <w:jc w:val="center"/>
              <w:rPr>
                <w:rFonts w:ascii="Arial" w:hAnsi="Arial" w:cs="Arial"/>
                <w:color w:val="000000"/>
                <w:sz w:val="18"/>
                <w:szCs w:val="18"/>
              </w:rPr>
            </w:pPr>
            <w:r w:rsidRPr="00EC631E">
              <w:rPr>
                <w:rFonts w:ascii="Arial" w:hAnsi="Arial" w:cs="Arial"/>
                <w:color w:val="000000"/>
                <w:sz w:val="18"/>
                <w:szCs w:val="18"/>
              </w:rPr>
              <w:t>1</w:t>
            </w:r>
          </w:p>
        </w:tc>
        <w:tc>
          <w:tcPr>
            <w:tcW w:w="2140" w:type="dxa"/>
            <w:tcBorders>
              <w:top w:val="nil"/>
              <w:left w:val="nil"/>
              <w:bottom w:val="nil"/>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2</w:t>
            </w:r>
          </w:p>
        </w:tc>
        <w:tc>
          <w:tcPr>
            <w:tcW w:w="780" w:type="dxa"/>
            <w:tcBorders>
              <w:top w:val="nil"/>
              <w:left w:val="nil"/>
              <w:bottom w:val="nil"/>
              <w:right w:val="single" w:sz="8" w:space="0" w:color="auto"/>
            </w:tcBorders>
            <w:shd w:val="clear" w:color="000000" w:fill="C0C0C0"/>
            <w:noWrap/>
            <w:vAlign w:val="center"/>
            <w:hideMark/>
          </w:tcPr>
          <w:p w:rsidR="00362F08" w:rsidRPr="009D0F19" w:rsidRDefault="00362F08" w:rsidP="00820CF0">
            <w:pPr>
              <w:jc w:val="center"/>
              <w:rPr>
                <w:color w:val="000000"/>
              </w:rPr>
            </w:pPr>
            <w:r w:rsidRPr="009D0F19">
              <w:rPr>
                <w:color w:val="000000"/>
              </w:rPr>
              <w:t>3</w:t>
            </w:r>
          </w:p>
        </w:tc>
        <w:tc>
          <w:tcPr>
            <w:tcW w:w="1105"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4</w:t>
            </w:r>
          </w:p>
        </w:tc>
        <w:tc>
          <w:tcPr>
            <w:tcW w:w="1600"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5</w:t>
            </w:r>
          </w:p>
        </w:tc>
        <w:tc>
          <w:tcPr>
            <w:tcW w:w="960"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6</w:t>
            </w:r>
          </w:p>
        </w:tc>
        <w:tc>
          <w:tcPr>
            <w:tcW w:w="1400"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7</w:t>
            </w:r>
          </w:p>
        </w:tc>
        <w:tc>
          <w:tcPr>
            <w:tcW w:w="905"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8</w:t>
            </w:r>
          </w:p>
        </w:tc>
        <w:tc>
          <w:tcPr>
            <w:tcW w:w="1505" w:type="dxa"/>
            <w:tcBorders>
              <w:top w:val="nil"/>
              <w:left w:val="nil"/>
              <w:bottom w:val="single" w:sz="8" w:space="0" w:color="auto"/>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9</w:t>
            </w:r>
          </w:p>
        </w:tc>
        <w:tc>
          <w:tcPr>
            <w:tcW w:w="4214" w:type="dxa"/>
            <w:tcBorders>
              <w:top w:val="nil"/>
              <w:left w:val="nil"/>
              <w:bottom w:val="single" w:sz="8" w:space="0" w:color="auto"/>
              <w:right w:val="single" w:sz="4" w:space="0" w:color="auto"/>
            </w:tcBorders>
            <w:shd w:val="clear" w:color="000000" w:fill="C0C0C0"/>
            <w:noWrap/>
            <w:vAlign w:val="center"/>
            <w:hideMark/>
          </w:tcPr>
          <w:p w:rsidR="00362F08" w:rsidRPr="009D0F19" w:rsidRDefault="00362F08" w:rsidP="00820CF0">
            <w:pPr>
              <w:rPr>
                <w:color w:val="000000"/>
              </w:rPr>
            </w:pPr>
            <w:r w:rsidRPr="009D0F19">
              <w:rPr>
                <w:color w:val="000000"/>
              </w:rPr>
              <w:t> </w:t>
            </w:r>
          </w:p>
        </w:tc>
      </w:tr>
      <w:tr w:rsidR="00362F08" w:rsidRPr="00EC631E" w:rsidTr="00820CF0">
        <w:trPr>
          <w:trHeight w:val="495"/>
        </w:trPr>
        <w:tc>
          <w:tcPr>
            <w:tcW w:w="601" w:type="dxa"/>
            <w:tcBorders>
              <w:top w:val="nil"/>
              <w:left w:val="single" w:sz="4" w:space="0" w:color="auto"/>
              <w:bottom w:val="nil"/>
              <w:right w:val="single" w:sz="8" w:space="0" w:color="auto"/>
            </w:tcBorders>
            <w:shd w:val="clear" w:color="000000" w:fill="C0C0C0"/>
            <w:noWrap/>
            <w:vAlign w:val="center"/>
            <w:hideMark/>
          </w:tcPr>
          <w:p w:rsidR="00362F08" w:rsidRPr="00EC631E" w:rsidRDefault="00362F08" w:rsidP="00820CF0">
            <w:pPr>
              <w:jc w:val="center"/>
              <w:rPr>
                <w:rFonts w:ascii="Arial" w:hAnsi="Arial" w:cs="Arial"/>
                <w:color w:val="000000"/>
                <w:sz w:val="18"/>
                <w:szCs w:val="18"/>
              </w:rPr>
            </w:pPr>
            <w:r w:rsidRPr="00EC631E">
              <w:rPr>
                <w:rFonts w:ascii="Arial" w:hAnsi="Arial" w:cs="Arial"/>
                <w:color w:val="000000"/>
                <w:sz w:val="18"/>
                <w:szCs w:val="18"/>
              </w:rPr>
              <w:t> </w:t>
            </w:r>
          </w:p>
        </w:tc>
        <w:tc>
          <w:tcPr>
            <w:tcW w:w="2140" w:type="dxa"/>
            <w:tcBorders>
              <w:top w:val="single" w:sz="8" w:space="0" w:color="auto"/>
              <w:left w:val="nil"/>
              <w:bottom w:val="nil"/>
              <w:right w:val="single" w:sz="8" w:space="0" w:color="auto"/>
            </w:tcBorders>
            <w:shd w:val="clear" w:color="000000" w:fill="C0C0C0"/>
            <w:noWrap/>
            <w:vAlign w:val="center"/>
            <w:hideMark/>
          </w:tcPr>
          <w:p w:rsidR="00362F08" w:rsidRPr="009D0F19" w:rsidRDefault="00362F08" w:rsidP="00820CF0">
            <w:pPr>
              <w:jc w:val="center"/>
              <w:rPr>
                <w:color w:val="000000"/>
              </w:rPr>
            </w:pPr>
            <w:r w:rsidRPr="009D0F19">
              <w:rPr>
                <w:color w:val="000000"/>
              </w:rPr>
              <w:t> </w:t>
            </w:r>
          </w:p>
        </w:tc>
        <w:tc>
          <w:tcPr>
            <w:tcW w:w="780" w:type="dxa"/>
            <w:tcBorders>
              <w:top w:val="single" w:sz="8" w:space="0" w:color="auto"/>
              <w:left w:val="nil"/>
              <w:bottom w:val="nil"/>
              <w:right w:val="single" w:sz="8" w:space="0" w:color="auto"/>
            </w:tcBorders>
            <w:shd w:val="clear" w:color="000000" w:fill="C0C0C0"/>
            <w:noWrap/>
            <w:vAlign w:val="center"/>
            <w:hideMark/>
          </w:tcPr>
          <w:p w:rsidR="00362F08" w:rsidRPr="009D0F19" w:rsidRDefault="00362F08" w:rsidP="00820CF0">
            <w:pPr>
              <w:jc w:val="center"/>
              <w:rPr>
                <w:color w:val="000000"/>
              </w:rPr>
            </w:pPr>
            <w:r w:rsidRPr="009D0F19">
              <w:rPr>
                <w:color w:val="000000"/>
              </w:rPr>
              <w:t> </w:t>
            </w:r>
          </w:p>
        </w:tc>
        <w:tc>
          <w:tcPr>
            <w:tcW w:w="1105" w:type="dxa"/>
            <w:tcBorders>
              <w:top w:val="nil"/>
              <w:left w:val="nil"/>
              <w:bottom w:val="nil"/>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 </w:t>
            </w:r>
          </w:p>
        </w:tc>
        <w:tc>
          <w:tcPr>
            <w:tcW w:w="1600" w:type="dxa"/>
            <w:tcBorders>
              <w:top w:val="nil"/>
              <w:left w:val="nil"/>
              <w:bottom w:val="nil"/>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 </w:t>
            </w:r>
          </w:p>
        </w:tc>
        <w:tc>
          <w:tcPr>
            <w:tcW w:w="960" w:type="dxa"/>
            <w:tcBorders>
              <w:top w:val="nil"/>
              <w:left w:val="nil"/>
              <w:bottom w:val="nil"/>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 </w:t>
            </w:r>
          </w:p>
        </w:tc>
        <w:tc>
          <w:tcPr>
            <w:tcW w:w="1400" w:type="dxa"/>
            <w:tcBorders>
              <w:top w:val="nil"/>
              <w:left w:val="nil"/>
              <w:bottom w:val="nil"/>
              <w:right w:val="single" w:sz="8" w:space="0" w:color="auto"/>
            </w:tcBorders>
            <w:shd w:val="clear" w:color="000000" w:fill="C0C0C0"/>
            <w:vAlign w:val="center"/>
            <w:hideMark/>
          </w:tcPr>
          <w:p w:rsidR="00362F08" w:rsidRPr="009D0F19" w:rsidRDefault="00362F08" w:rsidP="00820CF0">
            <w:pPr>
              <w:jc w:val="center"/>
              <w:rPr>
                <w:color w:val="000000"/>
              </w:rPr>
            </w:pPr>
          </w:p>
        </w:tc>
        <w:tc>
          <w:tcPr>
            <w:tcW w:w="905" w:type="dxa"/>
            <w:tcBorders>
              <w:top w:val="nil"/>
              <w:left w:val="nil"/>
              <w:bottom w:val="nil"/>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 </w:t>
            </w:r>
          </w:p>
        </w:tc>
        <w:tc>
          <w:tcPr>
            <w:tcW w:w="1505" w:type="dxa"/>
            <w:tcBorders>
              <w:top w:val="nil"/>
              <w:left w:val="nil"/>
              <w:bottom w:val="nil"/>
              <w:right w:val="single" w:sz="8" w:space="0" w:color="auto"/>
            </w:tcBorders>
            <w:shd w:val="clear" w:color="000000" w:fill="C0C0C0"/>
            <w:vAlign w:val="center"/>
            <w:hideMark/>
          </w:tcPr>
          <w:p w:rsidR="00362F08" w:rsidRPr="009D0F19" w:rsidRDefault="00362F08" w:rsidP="00820CF0">
            <w:pPr>
              <w:jc w:val="center"/>
              <w:rPr>
                <w:color w:val="000000"/>
              </w:rPr>
            </w:pPr>
            <w:r w:rsidRPr="009D0F19">
              <w:rPr>
                <w:color w:val="000000"/>
              </w:rPr>
              <w:t>7+8</w:t>
            </w:r>
          </w:p>
        </w:tc>
        <w:tc>
          <w:tcPr>
            <w:tcW w:w="4214" w:type="dxa"/>
            <w:tcBorders>
              <w:top w:val="nil"/>
              <w:left w:val="nil"/>
              <w:bottom w:val="nil"/>
              <w:right w:val="single" w:sz="4" w:space="0" w:color="auto"/>
            </w:tcBorders>
            <w:shd w:val="clear" w:color="000000" w:fill="C0C0C0"/>
            <w:noWrap/>
            <w:vAlign w:val="center"/>
            <w:hideMark/>
          </w:tcPr>
          <w:p w:rsidR="00362F08" w:rsidRPr="009D0F19" w:rsidRDefault="00362F08" w:rsidP="00820CF0">
            <w:pPr>
              <w:rPr>
                <w:color w:val="000000"/>
              </w:rPr>
            </w:pPr>
            <w:r w:rsidRPr="009D0F19">
              <w:rPr>
                <w:color w:val="000000"/>
              </w:rPr>
              <w:t> </w:t>
            </w:r>
          </w:p>
        </w:tc>
      </w:tr>
      <w:tr w:rsidR="00362F08" w:rsidRPr="00EC631E" w:rsidTr="00820CF0">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F08" w:rsidRPr="00EC631E" w:rsidRDefault="00362F08" w:rsidP="00820CF0">
            <w:pPr>
              <w:jc w:val="center"/>
              <w:rPr>
                <w:rFonts w:ascii="Calibri" w:hAnsi="Calibri" w:cs="Calibri"/>
                <w:color w:val="000000"/>
                <w:sz w:val="18"/>
                <w:szCs w:val="18"/>
              </w:rPr>
            </w:pPr>
            <w:r w:rsidRPr="00EC631E">
              <w:rPr>
                <w:rFonts w:ascii="Calibri" w:hAnsi="Calibri" w:cs="Calibri"/>
                <w:color w:val="000000"/>
                <w:sz w:val="18"/>
                <w:szCs w:val="1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KRNDIJA</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GR-3A</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318</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oranica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4,7216</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137.870,72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137.870,72</w:t>
            </w:r>
          </w:p>
        </w:tc>
        <w:tc>
          <w:tcPr>
            <w:tcW w:w="4214" w:type="dxa"/>
            <w:tcBorders>
              <w:top w:val="single" w:sz="4" w:space="0" w:color="auto"/>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 xml:space="preserve">- </w:t>
            </w:r>
            <w:r w:rsidRPr="009D0F19">
              <w:rPr>
                <w:b/>
                <w:color w:val="000000"/>
              </w:rPr>
              <w:t>Privremeno korištenje</w:t>
            </w:r>
            <w:r w:rsidRPr="009D0F19">
              <w:rPr>
                <w:color w:val="000000"/>
              </w:rPr>
              <w:t>;</w:t>
            </w:r>
          </w:p>
          <w:p w:rsidR="00362F08" w:rsidRPr="009D0F19" w:rsidRDefault="00362F08" w:rsidP="00820CF0">
            <w:pPr>
              <w:jc w:val="center"/>
              <w:rPr>
                <w:color w:val="000000"/>
              </w:rPr>
            </w:pPr>
            <w:r w:rsidRPr="009D0F19">
              <w:rPr>
                <w:color w:val="000000"/>
              </w:rPr>
              <w:t xml:space="preserve">- </w:t>
            </w:r>
            <w:r w:rsidRPr="009D0F19">
              <w:rPr>
                <w:b/>
                <w:color w:val="000000"/>
              </w:rPr>
              <w:t>Jugoistočni dio čestice nalazi se unutar granica III. B zone sanitarne zaštite  izvorišta Gorjani,  primjena zabrana iz članka 12. Odluke o određivanju zona sanitarne zaštite vodocrpilišta „Gorjani“</w:t>
            </w:r>
          </w:p>
        </w:tc>
      </w:tr>
      <w:tr w:rsidR="00362F08" w:rsidRPr="00EC631E" w:rsidTr="00820CF0">
        <w:trPr>
          <w:trHeight w:val="48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62F08" w:rsidRPr="00EC631E" w:rsidRDefault="00362F08" w:rsidP="00820CF0">
            <w:pPr>
              <w:jc w:val="center"/>
              <w:rPr>
                <w:rFonts w:ascii="Calibri" w:hAnsi="Calibri" w:cs="Calibri"/>
                <w:color w:val="000000"/>
                <w:sz w:val="18"/>
                <w:szCs w:val="18"/>
              </w:rPr>
            </w:pPr>
            <w:r w:rsidRPr="00EC631E">
              <w:rPr>
                <w:rFonts w:ascii="Calibri" w:hAnsi="Calibri" w:cs="Calibri"/>
                <w:color w:val="000000"/>
                <w:sz w:val="18"/>
                <w:szCs w:val="18"/>
              </w:rPr>
              <w:t>2.</w:t>
            </w:r>
          </w:p>
        </w:tc>
        <w:tc>
          <w:tcPr>
            <w:tcW w:w="214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KRNDIJA</w:t>
            </w:r>
          </w:p>
        </w:tc>
        <w:tc>
          <w:tcPr>
            <w:tcW w:w="78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GR-11A</w:t>
            </w:r>
          </w:p>
        </w:tc>
        <w:tc>
          <w:tcPr>
            <w:tcW w:w="11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290</w:t>
            </w:r>
          </w:p>
        </w:tc>
        <w:tc>
          <w:tcPr>
            <w:tcW w:w="160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oranica</w:t>
            </w:r>
          </w:p>
        </w:tc>
        <w:tc>
          <w:tcPr>
            <w:tcW w:w="96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5,9135</w:t>
            </w:r>
          </w:p>
        </w:tc>
        <w:tc>
          <w:tcPr>
            <w:tcW w:w="140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172.674,20</w:t>
            </w:r>
          </w:p>
        </w:tc>
        <w:tc>
          <w:tcPr>
            <w:tcW w:w="9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p>
        </w:tc>
        <w:tc>
          <w:tcPr>
            <w:tcW w:w="15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172.674,20</w:t>
            </w:r>
          </w:p>
        </w:tc>
        <w:tc>
          <w:tcPr>
            <w:tcW w:w="4214"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 I</w:t>
            </w:r>
            <w:r w:rsidRPr="009D0F19">
              <w:rPr>
                <w:b/>
                <w:color w:val="000000"/>
              </w:rPr>
              <w:t>stočni dio čestice nalazi se unutar granica III. B zone sanitarne zaštite  izvorišta Gorjani,</w:t>
            </w:r>
            <w:r w:rsidRPr="009D0F19">
              <w:rPr>
                <w:color w:val="000000"/>
              </w:rPr>
              <w:t> </w:t>
            </w:r>
            <w:r w:rsidRPr="009D0F19">
              <w:rPr>
                <w:b/>
                <w:color w:val="000000"/>
              </w:rPr>
              <w:t>primjena zabrana iz članka 12. Odluke o određivanju zona sanitarne zaštite vodocrpilišta „Gorjani“</w:t>
            </w:r>
          </w:p>
        </w:tc>
      </w:tr>
      <w:tr w:rsidR="00362F08" w:rsidRPr="00EC631E" w:rsidTr="00820CF0">
        <w:trPr>
          <w:trHeight w:val="398"/>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62F08" w:rsidRPr="00EC631E" w:rsidRDefault="00362F08" w:rsidP="00820CF0">
            <w:pPr>
              <w:jc w:val="center"/>
              <w:rPr>
                <w:rFonts w:ascii="Calibri" w:hAnsi="Calibri" w:cs="Calibri"/>
                <w:color w:val="000000"/>
                <w:sz w:val="18"/>
                <w:szCs w:val="18"/>
              </w:rPr>
            </w:pPr>
            <w:r w:rsidRPr="00EC631E">
              <w:rPr>
                <w:rFonts w:ascii="Calibri" w:hAnsi="Calibri" w:cs="Calibri"/>
                <w:color w:val="000000"/>
                <w:sz w:val="18"/>
                <w:szCs w:val="18"/>
              </w:rPr>
              <w:t>3.</w:t>
            </w:r>
          </w:p>
        </w:tc>
        <w:tc>
          <w:tcPr>
            <w:tcW w:w="214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KRNDIJA</w:t>
            </w:r>
          </w:p>
        </w:tc>
        <w:tc>
          <w:tcPr>
            <w:tcW w:w="78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10/A-3</w:t>
            </w:r>
          </w:p>
        </w:tc>
        <w:tc>
          <w:tcPr>
            <w:tcW w:w="11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153</w:t>
            </w:r>
          </w:p>
        </w:tc>
        <w:tc>
          <w:tcPr>
            <w:tcW w:w="160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oranica</w:t>
            </w:r>
          </w:p>
        </w:tc>
        <w:tc>
          <w:tcPr>
            <w:tcW w:w="96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1,1531</w:t>
            </w:r>
          </w:p>
        </w:tc>
        <w:tc>
          <w:tcPr>
            <w:tcW w:w="140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33.670,52</w:t>
            </w:r>
          </w:p>
        </w:tc>
        <w:tc>
          <w:tcPr>
            <w:tcW w:w="9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p>
        </w:tc>
        <w:tc>
          <w:tcPr>
            <w:tcW w:w="15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33.670,52</w:t>
            </w:r>
          </w:p>
        </w:tc>
        <w:tc>
          <w:tcPr>
            <w:tcW w:w="4214"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b/>
                <w:color w:val="000000"/>
              </w:rPr>
              <w:t>Nalazi se cijelom površinom unutar granica III. B zone sanitarne zaštite  izvorišta Gorjani,</w:t>
            </w:r>
            <w:r w:rsidRPr="009D0F19">
              <w:rPr>
                <w:color w:val="000000"/>
              </w:rPr>
              <w:t> </w:t>
            </w:r>
            <w:r w:rsidRPr="009D0F19">
              <w:rPr>
                <w:b/>
                <w:color w:val="000000"/>
              </w:rPr>
              <w:t>primjena zabrana iz članka 12. Odluke o određivanju zona sanitarne zaštite vodocrpilišta „Gorjani“</w:t>
            </w:r>
            <w:r w:rsidRPr="009D0F19">
              <w:rPr>
                <w:color w:val="000000"/>
              </w:rPr>
              <w:t> </w:t>
            </w:r>
          </w:p>
        </w:tc>
      </w:tr>
      <w:tr w:rsidR="00362F08" w:rsidRPr="00EC631E" w:rsidTr="00820CF0">
        <w:trPr>
          <w:trHeight w:val="1117"/>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62F08" w:rsidRPr="00EC631E" w:rsidRDefault="00362F08" w:rsidP="00820CF0">
            <w:pPr>
              <w:jc w:val="center"/>
              <w:rPr>
                <w:rFonts w:ascii="Calibri" w:hAnsi="Calibri" w:cs="Calibri"/>
                <w:color w:val="000000"/>
                <w:sz w:val="18"/>
                <w:szCs w:val="18"/>
              </w:rPr>
            </w:pPr>
            <w:r w:rsidRPr="00EC631E">
              <w:rPr>
                <w:rFonts w:ascii="Calibri" w:hAnsi="Calibri" w:cs="Calibri"/>
                <w:color w:val="000000"/>
                <w:sz w:val="18"/>
                <w:szCs w:val="18"/>
              </w:rPr>
              <w:t>4.</w:t>
            </w:r>
          </w:p>
        </w:tc>
        <w:tc>
          <w:tcPr>
            <w:tcW w:w="214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KRNDIJA</w:t>
            </w:r>
          </w:p>
        </w:tc>
        <w:tc>
          <w:tcPr>
            <w:tcW w:w="78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10/A-2</w:t>
            </w:r>
          </w:p>
        </w:tc>
        <w:tc>
          <w:tcPr>
            <w:tcW w:w="11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145</w:t>
            </w:r>
          </w:p>
        </w:tc>
        <w:tc>
          <w:tcPr>
            <w:tcW w:w="160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oranica</w:t>
            </w:r>
          </w:p>
        </w:tc>
        <w:tc>
          <w:tcPr>
            <w:tcW w:w="96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0,4068</w:t>
            </w:r>
          </w:p>
        </w:tc>
        <w:tc>
          <w:tcPr>
            <w:tcW w:w="140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11.878,56</w:t>
            </w:r>
          </w:p>
        </w:tc>
        <w:tc>
          <w:tcPr>
            <w:tcW w:w="9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p>
        </w:tc>
        <w:tc>
          <w:tcPr>
            <w:tcW w:w="15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11.878,56</w:t>
            </w:r>
          </w:p>
        </w:tc>
        <w:tc>
          <w:tcPr>
            <w:tcW w:w="4214"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b/>
                <w:color w:val="000000"/>
              </w:rPr>
              <w:t>Nalazi se cijelom površinom unutar granica III. B zone sanitarne zaštite  izvorišta Gorjani,</w:t>
            </w:r>
            <w:r w:rsidRPr="009D0F19">
              <w:rPr>
                <w:color w:val="000000"/>
              </w:rPr>
              <w:t> </w:t>
            </w:r>
            <w:r w:rsidRPr="009D0F19">
              <w:rPr>
                <w:b/>
                <w:color w:val="000000"/>
              </w:rPr>
              <w:t>primjena zabrana iz članka 12. Odluke o određivanju zona sanitarne zaštite vodocrpilišta „Gorjani“</w:t>
            </w:r>
            <w:r w:rsidRPr="009D0F19">
              <w:rPr>
                <w:color w:val="000000"/>
              </w:rPr>
              <w:t> </w:t>
            </w:r>
          </w:p>
        </w:tc>
      </w:tr>
      <w:tr w:rsidR="00362F08" w:rsidRPr="00EC631E" w:rsidTr="00820CF0">
        <w:trPr>
          <w:trHeight w:val="1027"/>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62F08" w:rsidRPr="00EC631E" w:rsidRDefault="00362F08" w:rsidP="00820CF0">
            <w:pPr>
              <w:jc w:val="center"/>
              <w:rPr>
                <w:rFonts w:ascii="Calibri" w:hAnsi="Calibri" w:cs="Calibri"/>
                <w:color w:val="000000"/>
                <w:sz w:val="18"/>
                <w:szCs w:val="18"/>
              </w:rPr>
            </w:pPr>
            <w:r w:rsidRPr="00EC631E">
              <w:rPr>
                <w:rFonts w:ascii="Calibri" w:hAnsi="Calibri" w:cs="Calibri"/>
                <w:color w:val="000000"/>
                <w:sz w:val="18"/>
                <w:szCs w:val="18"/>
              </w:rPr>
              <w:t>5.</w:t>
            </w:r>
          </w:p>
        </w:tc>
        <w:tc>
          <w:tcPr>
            <w:tcW w:w="214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KRNDIJA</w:t>
            </w:r>
          </w:p>
        </w:tc>
        <w:tc>
          <w:tcPr>
            <w:tcW w:w="78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1/A</w:t>
            </w:r>
          </w:p>
        </w:tc>
        <w:tc>
          <w:tcPr>
            <w:tcW w:w="11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264</w:t>
            </w:r>
          </w:p>
        </w:tc>
        <w:tc>
          <w:tcPr>
            <w:tcW w:w="160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oranica</w:t>
            </w:r>
          </w:p>
        </w:tc>
        <w:tc>
          <w:tcPr>
            <w:tcW w:w="96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color w:val="000000"/>
              </w:rPr>
              <w:t>2,9538</w:t>
            </w:r>
          </w:p>
        </w:tc>
        <w:tc>
          <w:tcPr>
            <w:tcW w:w="1400"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86.250,96</w:t>
            </w:r>
          </w:p>
        </w:tc>
        <w:tc>
          <w:tcPr>
            <w:tcW w:w="9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p>
        </w:tc>
        <w:tc>
          <w:tcPr>
            <w:tcW w:w="1505"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Pr>
                <w:color w:val="000000"/>
              </w:rPr>
              <w:t>86.250,96</w:t>
            </w:r>
          </w:p>
        </w:tc>
        <w:tc>
          <w:tcPr>
            <w:tcW w:w="4214" w:type="dxa"/>
            <w:tcBorders>
              <w:top w:val="nil"/>
              <w:left w:val="nil"/>
              <w:bottom w:val="single" w:sz="4" w:space="0" w:color="auto"/>
              <w:right w:val="single" w:sz="4" w:space="0" w:color="auto"/>
            </w:tcBorders>
            <w:shd w:val="clear" w:color="auto" w:fill="auto"/>
            <w:noWrap/>
            <w:vAlign w:val="center"/>
            <w:hideMark/>
          </w:tcPr>
          <w:p w:rsidR="00362F08" w:rsidRPr="009D0F19" w:rsidRDefault="00362F08" w:rsidP="00820CF0">
            <w:pPr>
              <w:jc w:val="center"/>
              <w:rPr>
                <w:color w:val="000000"/>
              </w:rPr>
            </w:pPr>
            <w:r w:rsidRPr="009D0F19">
              <w:rPr>
                <w:b/>
                <w:color w:val="000000"/>
              </w:rPr>
              <w:t>Nalazi se cijelom površinom unutar granica III. B zone sanitarne zaštite  izvorišta Gorjani,</w:t>
            </w:r>
            <w:r w:rsidRPr="009D0F19">
              <w:rPr>
                <w:color w:val="000000"/>
              </w:rPr>
              <w:t> </w:t>
            </w:r>
            <w:r w:rsidRPr="009D0F19">
              <w:rPr>
                <w:b/>
                <w:color w:val="000000"/>
              </w:rPr>
              <w:t>primjena zabrana iz članka 12. Odluke o određivanju zona sanitarne zaštite vodocrpilišta „Gorjani“</w:t>
            </w:r>
            <w:r w:rsidRPr="009D0F19">
              <w:rPr>
                <w:color w:val="000000"/>
              </w:rPr>
              <w:t> </w:t>
            </w:r>
          </w:p>
        </w:tc>
      </w:tr>
      <w:tr w:rsidR="00362F08" w:rsidRPr="00EC631E" w:rsidTr="00820CF0">
        <w:trPr>
          <w:trHeight w:val="300"/>
        </w:trPr>
        <w:tc>
          <w:tcPr>
            <w:tcW w:w="601" w:type="dxa"/>
            <w:tcBorders>
              <w:top w:val="nil"/>
              <w:left w:val="nil"/>
              <w:bottom w:val="nil"/>
              <w:right w:val="nil"/>
            </w:tcBorders>
            <w:shd w:val="clear" w:color="auto" w:fill="auto"/>
            <w:noWrap/>
            <w:vAlign w:val="bottom"/>
            <w:hideMark/>
          </w:tcPr>
          <w:p w:rsidR="00362F08" w:rsidRPr="00EC631E" w:rsidRDefault="00362F08" w:rsidP="00820CF0">
            <w:pPr>
              <w:jc w:val="center"/>
              <w:rPr>
                <w:rFonts w:ascii="Calibri" w:hAnsi="Calibri" w:cs="Calibri"/>
                <w:color w:val="000000"/>
              </w:rPr>
            </w:pPr>
          </w:p>
        </w:tc>
        <w:tc>
          <w:tcPr>
            <w:tcW w:w="2140" w:type="dxa"/>
            <w:tcBorders>
              <w:top w:val="nil"/>
              <w:left w:val="nil"/>
              <w:bottom w:val="nil"/>
              <w:right w:val="nil"/>
            </w:tcBorders>
            <w:shd w:val="clear" w:color="auto" w:fill="auto"/>
            <w:noWrap/>
            <w:vAlign w:val="bottom"/>
            <w:hideMark/>
          </w:tcPr>
          <w:p w:rsidR="00362F08" w:rsidRPr="00EC631E" w:rsidRDefault="00362F08" w:rsidP="00820CF0"/>
        </w:tc>
        <w:tc>
          <w:tcPr>
            <w:tcW w:w="780" w:type="dxa"/>
            <w:tcBorders>
              <w:top w:val="nil"/>
              <w:left w:val="nil"/>
              <w:bottom w:val="nil"/>
              <w:right w:val="nil"/>
            </w:tcBorders>
            <w:shd w:val="clear" w:color="auto" w:fill="auto"/>
            <w:noWrap/>
            <w:vAlign w:val="center"/>
            <w:hideMark/>
          </w:tcPr>
          <w:p w:rsidR="00362F08" w:rsidRPr="00EC631E" w:rsidRDefault="00362F08" w:rsidP="00820CF0"/>
        </w:tc>
        <w:tc>
          <w:tcPr>
            <w:tcW w:w="1105" w:type="dxa"/>
            <w:tcBorders>
              <w:top w:val="nil"/>
              <w:left w:val="nil"/>
              <w:bottom w:val="nil"/>
              <w:right w:val="nil"/>
            </w:tcBorders>
            <w:shd w:val="clear" w:color="auto" w:fill="auto"/>
            <w:noWrap/>
            <w:vAlign w:val="bottom"/>
            <w:hideMark/>
          </w:tcPr>
          <w:p w:rsidR="00362F08" w:rsidRPr="00EC631E" w:rsidRDefault="00362F08" w:rsidP="00820CF0">
            <w:pPr>
              <w:jc w:val="both"/>
            </w:pPr>
          </w:p>
        </w:tc>
        <w:tc>
          <w:tcPr>
            <w:tcW w:w="1600" w:type="dxa"/>
            <w:tcBorders>
              <w:top w:val="nil"/>
              <w:left w:val="nil"/>
              <w:bottom w:val="nil"/>
              <w:right w:val="nil"/>
            </w:tcBorders>
            <w:shd w:val="clear" w:color="auto" w:fill="auto"/>
            <w:noWrap/>
            <w:vAlign w:val="bottom"/>
            <w:hideMark/>
          </w:tcPr>
          <w:p w:rsidR="00362F08" w:rsidRPr="00EC631E" w:rsidRDefault="00362F08" w:rsidP="00820CF0"/>
        </w:tc>
        <w:tc>
          <w:tcPr>
            <w:tcW w:w="960" w:type="dxa"/>
            <w:tcBorders>
              <w:top w:val="nil"/>
              <w:left w:val="nil"/>
              <w:bottom w:val="nil"/>
              <w:right w:val="nil"/>
            </w:tcBorders>
            <w:shd w:val="clear" w:color="auto" w:fill="auto"/>
            <w:noWrap/>
            <w:vAlign w:val="bottom"/>
            <w:hideMark/>
          </w:tcPr>
          <w:p w:rsidR="00362F08" w:rsidRPr="00EC631E" w:rsidRDefault="00362F08" w:rsidP="00820CF0"/>
        </w:tc>
        <w:tc>
          <w:tcPr>
            <w:tcW w:w="1400" w:type="dxa"/>
            <w:tcBorders>
              <w:top w:val="nil"/>
              <w:left w:val="nil"/>
              <w:bottom w:val="nil"/>
              <w:right w:val="nil"/>
            </w:tcBorders>
            <w:shd w:val="clear" w:color="auto" w:fill="auto"/>
            <w:noWrap/>
            <w:vAlign w:val="bottom"/>
            <w:hideMark/>
          </w:tcPr>
          <w:p w:rsidR="00362F08" w:rsidRPr="00EC631E" w:rsidRDefault="00362F08" w:rsidP="00820CF0"/>
        </w:tc>
        <w:tc>
          <w:tcPr>
            <w:tcW w:w="905" w:type="dxa"/>
            <w:tcBorders>
              <w:top w:val="nil"/>
              <w:left w:val="nil"/>
              <w:bottom w:val="nil"/>
              <w:right w:val="nil"/>
            </w:tcBorders>
            <w:shd w:val="clear" w:color="auto" w:fill="auto"/>
            <w:noWrap/>
            <w:vAlign w:val="bottom"/>
            <w:hideMark/>
          </w:tcPr>
          <w:p w:rsidR="00362F08" w:rsidRPr="00EC631E" w:rsidRDefault="00362F08" w:rsidP="00820CF0"/>
        </w:tc>
        <w:tc>
          <w:tcPr>
            <w:tcW w:w="1505" w:type="dxa"/>
            <w:tcBorders>
              <w:top w:val="nil"/>
              <w:left w:val="nil"/>
              <w:bottom w:val="nil"/>
              <w:right w:val="nil"/>
            </w:tcBorders>
            <w:shd w:val="clear" w:color="auto" w:fill="auto"/>
            <w:noWrap/>
            <w:vAlign w:val="bottom"/>
            <w:hideMark/>
          </w:tcPr>
          <w:p w:rsidR="00362F08" w:rsidRPr="00EC631E" w:rsidRDefault="00362F08" w:rsidP="00820CF0"/>
        </w:tc>
        <w:tc>
          <w:tcPr>
            <w:tcW w:w="4214" w:type="dxa"/>
            <w:tcBorders>
              <w:top w:val="nil"/>
              <w:left w:val="nil"/>
              <w:bottom w:val="nil"/>
              <w:right w:val="nil"/>
            </w:tcBorders>
            <w:shd w:val="clear" w:color="auto" w:fill="auto"/>
            <w:noWrap/>
            <w:vAlign w:val="bottom"/>
            <w:hideMark/>
          </w:tcPr>
          <w:p w:rsidR="00362F08" w:rsidRPr="00EC631E" w:rsidRDefault="00362F08" w:rsidP="00820CF0"/>
        </w:tc>
      </w:tr>
      <w:tr w:rsidR="00362F08" w:rsidRPr="00EC631E" w:rsidTr="00820CF0">
        <w:trPr>
          <w:trHeight w:val="300"/>
        </w:trPr>
        <w:tc>
          <w:tcPr>
            <w:tcW w:w="601" w:type="dxa"/>
            <w:tcBorders>
              <w:top w:val="nil"/>
              <w:left w:val="nil"/>
              <w:bottom w:val="nil"/>
              <w:right w:val="nil"/>
            </w:tcBorders>
            <w:shd w:val="clear" w:color="auto" w:fill="auto"/>
            <w:noWrap/>
            <w:vAlign w:val="bottom"/>
            <w:hideMark/>
          </w:tcPr>
          <w:p w:rsidR="00362F08" w:rsidRPr="00EC631E" w:rsidRDefault="00362F08" w:rsidP="00820CF0"/>
        </w:tc>
        <w:tc>
          <w:tcPr>
            <w:tcW w:w="2140" w:type="dxa"/>
            <w:tcBorders>
              <w:top w:val="nil"/>
              <w:left w:val="nil"/>
              <w:bottom w:val="nil"/>
              <w:right w:val="nil"/>
            </w:tcBorders>
            <w:shd w:val="clear" w:color="auto" w:fill="auto"/>
            <w:noWrap/>
            <w:vAlign w:val="bottom"/>
            <w:hideMark/>
          </w:tcPr>
          <w:p w:rsidR="00362F08" w:rsidRPr="00EC631E" w:rsidRDefault="00362F08" w:rsidP="00820CF0"/>
        </w:tc>
        <w:tc>
          <w:tcPr>
            <w:tcW w:w="780" w:type="dxa"/>
            <w:tcBorders>
              <w:top w:val="nil"/>
              <w:left w:val="nil"/>
              <w:bottom w:val="nil"/>
              <w:right w:val="nil"/>
            </w:tcBorders>
            <w:shd w:val="clear" w:color="auto" w:fill="auto"/>
            <w:noWrap/>
            <w:vAlign w:val="bottom"/>
            <w:hideMark/>
          </w:tcPr>
          <w:p w:rsidR="00362F08" w:rsidRPr="00EC631E" w:rsidRDefault="00362F08" w:rsidP="00820CF0"/>
        </w:tc>
        <w:tc>
          <w:tcPr>
            <w:tcW w:w="1105" w:type="dxa"/>
            <w:tcBorders>
              <w:top w:val="nil"/>
              <w:left w:val="nil"/>
              <w:bottom w:val="nil"/>
              <w:right w:val="nil"/>
            </w:tcBorders>
            <w:shd w:val="clear" w:color="auto" w:fill="auto"/>
            <w:noWrap/>
            <w:vAlign w:val="bottom"/>
            <w:hideMark/>
          </w:tcPr>
          <w:p w:rsidR="00362F08" w:rsidRPr="00EC631E" w:rsidRDefault="00362F08" w:rsidP="00820CF0"/>
        </w:tc>
        <w:tc>
          <w:tcPr>
            <w:tcW w:w="1600" w:type="dxa"/>
            <w:tcBorders>
              <w:top w:val="nil"/>
              <w:left w:val="nil"/>
              <w:bottom w:val="nil"/>
              <w:right w:val="nil"/>
            </w:tcBorders>
            <w:shd w:val="clear" w:color="auto" w:fill="auto"/>
            <w:noWrap/>
            <w:vAlign w:val="bottom"/>
            <w:hideMark/>
          </w:tcPr>
          <w:p w:rsidR="00362F08" w:rsidRPr="00EC631E" w:rsidRDefault="00362F08" w:rsidP="00820CF0"/>
        </w:tc>
        <w:tc>
          <w:tcPr>
            <w:tcW w:w="960" w:type="dxa"/>
            <w:tcBorders>
              <w:top w:val="nil"/>
              <w:left w:val="nil"/>
              <w:bottom w:val="nil"/>
              <w:right w:val="nil"/>
            </w:tcBorders>
            <w:shd w:val="clear" w:color="auto" w:fill="auto"/>
            <w:noWrap/>
            <w:vAlign w:val="bottom"/>
            <w:hideMark/>
          </w:tcPr>
          <w:p w:rsidR="00362F08" w:rsidRPr="00EC631E" w:rsidRDefault="00362F08" w:rsidP="00820CF0"/>
        </w:tc>
        <w:tc>
          <w:tcPr>
            <w:tcW w:w="1400" w:type="dxa"/>
            <w:tcBorders>
              <w:top w:val="nil"/>
              <w:left w:val="nil"/>
              <w:bottom w:val="nil"/>
              <w:right w:val="nil"/>
            </w:tcBorders>
            <w:shd w:val="clear" w:color="auto" w:fill="auto"/>
            <w:noWrap/>
            <w:vAlign w:val="bottom"/>
            <w:hideMark/>
          </w:tcPr>
          <w:p w:rsidR="00362F08" w:rsidRPr="00EC631E" w:rsidRDefault="00362F08" w:rsidP="00820CF0"/>
        </w:tc>
        <w:tc>
          <w:tcPr>
            <w:tcW w:w="905" w:type="dxa"/>
            <w:tcBorders>
              <w:top w:val="nil"/>
              <w:left w:val="nil"/>
              <w:bottom w:val="nil"/>
              <w:right w:val="nil"/>
            </w:tcBorders>
            <w:shd w:val="clear" w:color="auto" w:fill="auto"/>
            <w:noWrap/>
            <w:vAlign w:val="bottom"/>
            <w:hideMark/>
          </w:tcPr>
          <w:p w:rsidR="00362F08" w:rsidRPr="00EC631E" w:rsidRDefault="00362F08" w:rsidP="00820CF0"/>
        </w:tc>
        <w:tc>
          <w:tcPr>
            <w:tcW w:w="1505" w:type="dxa"/>
            <w:tcBorders>
              <w:top w:val="nil"/>
              <w:left w:val="nil"/>
              <w:bottom w:val="nil"/>
              <w:right w:val="nil"/>
            </w:tcBorders>
            <w:shd w:val="clear" w:color="auto" w:fill="auto"/>
            <w:noWrap/>
            <w:vAlign w:val="bottom"/>
            <w:hideMark/>
          </w:tcPr>
          <w:p w:rsidR="00362F08" w:rsidRPr="00EC631E" w:rsidRDefault="00362F08" w:rsidP="00820CF0"/>
        </w:tc>
        <w:tc>
          <w:tcPr>
            <w:tcW w:w="4214" w:type="dxa"/>
            <w:tcBorders>
              <w:top w:val="nil"/>
              <w:left w:val="nil"/>
              <w:bottom w:val="nil"/>
              <w:right w:val="nil"/>
            </w:tcBorders>
            <w:shd w:val="clear" w:color="auto" w:fill="auto"/>
            <w:noWrap/>
            <w:vAlign w:val="bottom"/>
            <w:hideMark/>
          </w:tcPr>
          <w:p w:rsidR="00362F08" w:rsidRPr="00EC631E" w:rsidRDefault="00362F08" w:rsidP="00820CF0"/>
        </w:tc>
      </w:tr>
      <w:tr w:rsidR="00362F08" w:rsidRPr="00EC631E" w:rsidTr="00820CF0">
        <w:trPr>
          <w:trHeight w:val="315"/>
        </w:trPr>
        <w:tc>
          <w:tcPr>
            <w:tcW w:w="6226" w:type="dxa"/>
            <w:gridSpan w:val="5"/>
            <w:tcBorders>
              <w:top w:val="nil"/>
              <w:left w:val="nil"/>
              <w:bottom w:val="nil"/>
              <w:right w:val="nil"/>
            </w:tcBorders>
            <w:shd w:val="clear" w:color="auto" w:fill="auto"/>
            <w:noWrap/>
            <w:vAlign w:val="center"/>
            <w:hideMark/>
          </w:tcPr>
          <w:p w:rsidR="00362F08" w:rsidRPr="00A77A30" w:rsidRDefault="00362F08" w:rsidP="00820CF0">
            <w:pPr>
              <w:rPr>
                <w:rFonts w:ascii="Calibri" w:hAnsi="Calibri" w:cs="Calibri"/>
                <w:b/>
                <w:bCs/>
                <w:color w:val="000000"/>
                <w:sz w:val="22"/>
                <w:szCs w:val="22"/>
              </w:rPr>
            </w:pPr>
            <w:r w:rsidRPr="00A77A30">
              <w:rPr>
                <w:rFonts w:ascii="Calibri" w:hAnsi="Calibri" w:cs="Calibri"/>
                <w:b/>
                <w:bCs/>
                <w:color w:val="000000"/>
                <w:sz w:val="22"/>
                <w:szCs w:val="22"/>
              </w:rPr>
              <w:t>Sveukupna površina u natječaju u ha: 15,1488</w:t>
            </w:r>
          </w:p>
        </w:tc>
        <w:tc>
          <w:tcPr>
            <w:tcW w:w="960" w:type="dxa"/>
            <w:tcBorders>
              <w:top w:val="nil"/>
              <w:left w:val="nil"/>
              <w:bottom w:val="nil"/>
              <w:right w:val="nil"/>
            </w:tcBorders>
            <w:shd w:val="clear" w:color="auto" w:fill="auto"/>
            <w:noWrap/>
            <w:vAlign w:val="bottom"/>
            <w:hideMark/>
          </w:tcPr>
          <w:p w:rsidR="00362F08" w:rsidRPr="00A77A30" w:rsidRDefault="00362F08" w:rsidP="00820CF0">
            <w:pPr>
              <w:rPr>
                <w:rFonts w:ascii="Calibri" w:hAnsi="Calibri" w:cs="Calibri"/>
                <w:b/>
                <w:bCs/>
                <w:color w:val="000000"/>
                <w:sz w:val="22"/>
                <w:szCs w:val="22"/>
              </w:rPr>
            </w:pPr>
          </w:p>
        </w:tc>
        <w:tc>
          <w:tcPr>
            <w:tcW w:w="1400" w:type="dxa"/>
            <w:tcBorders>
              <w:top w:val="nil"/>
              <w:left w:val="nil"/>
              <w:bottom w:val="nil"/>
              <w:right w:val="nil"/>
            </w:tcBorders>
            <w:shd w:val="clear" w:color="auto" w:fill="auto"/>
            <w:noWrap/>
            <w:vAlign w:val="bottom"/>
            <w:hideMark/>
          </w:tcPr>
          <w:p w:rsidR="00362F08" w:rsidRPr="00EC631E" w:rsidRDefault="00362F08" w:rsidP="00820CF0"/>
        </w:tc>
        <w:tc>
          <w:tcPr>
            <w:tcW w:w="905" w:type="dxa"/>
            <w:tcBorders>
              <w:top w:val="nil"/>
              <w:left w:val="nil"/>
              <w:bottom w:val="nil"/>
              <w:right w:val="nil"/>
            </w:tcBorders>
            <w:shd w:val="clear" w:color="auto" w:fill="auto"/>
            <w:noWrap/>
            <w:vAlign w:val="bottom"/>
            <w:hideMark/>
          </w:tcPr>
          <w:p w:rsidR="00362F08" w:rsidRPr="00EC631E" w:rsidRDefault="00362F08" w:rsidP="00820CF0"/>
        </w:tc>
        <w:tc>
          <w:tcPr>
            <w:tcW w:w="1505" w:type="dxa"/>
            <w:tcBorders>
              <w:top w:val="nil"/>
              <w:left w:val="nil"/>
              <w:bottom w:val="nil"/>
              <w:right w:val="nil"/>
            </w:tcBorders>
            <w:shd w:val="clear" w:color="auto" w:fill="auto"/>
            <w:noWrap/>
            <w:vAlign w:val="bottom"/>
            <w:hideMark/>
          </w:tcPr>
          <w:p w:rsidR="00362F08" w:rsidRPr="00EC631E" w:rsidRDefault="00362F08" w:rsidP="00820CF0"/>
        </w:tc>
        <w:tc>
          <w:tcPr>
            <w:tcW w:w="4214" w:type="dxa"/>
            <w:tcBorders>
              <w:top w:val="nil"/>
              <w:left w:val="nil"/>
              <w:bottom w:val="nil"/>
              <w:right w:val="nil"/>
            </w:tcBorders>
            <w:shd w:val="clear" w:color="auto" w:fill="auto"/>
            <w:noWrap/>
            <w:vAlign w:val="bottom"/>
            <w:hideMark/>
          </w:tcPr>
          <w:p w:rsidR="00362F08" w:rsidRPr="00EC631E" w:rsidRDefault="00362F08" w:rsidP="00820CF0"/>
        </w:tc>
      </w:tr>
      <w:tr w:rsidR="00362F08" w:rsidRPr="00EC631E" w:rsidTr="00820CF0">
        <w:trPr>
          <w:trHeight w:val="315"/>
        </w:trPr>
        <w:tc>
          <w:tcPr>
            <w:tcW w:w="601" w:type="dxa"/>
            <w:tcBorders>
              <w:top w:val="nil"/>
              <w:left w:val="nil"/>
              <w:bottom w:val="nil"/>
              <w:right w:val="nil"/>
            </w:tcBorders>
            <w:shd w:val="clear" w:color="auto" w:fill="auto"/>
            <w:noWrap/>
            <w:vAlign w:val="center"/>
            <w:hideMark/>
          </w:tcPr>
          <w:p w:rsidR="00362F08" w:rsidRPr="00EC631E" w:rsidRDefault="00362F08" w:rsidP="00820CF0"/>
        </w:tc>
        <w:tc>
          <w:tcPr>
            <w:tcW w:w="2140" w:type="dxa"/>
            <w:tcBorders>
              <w:top w:val="nil"/>
              <w:left w:val="nil"/>
              <w:bottom w:val="nil"/>
              <w:right w:val="nil"/>
            </w:tcBorders>
            <w:shd w:val="clear" w:color="auto" w:fill="auto"/>
            <w:noWrap/>
            <w:vAlign w:val="bottom"/>
            <w:hideMark/>
          </w:tcPr>
          <w:p w:rsidR="00362F08" w:rsidRPr="00A77A30" w:rsidRDefault="00362F08" w:rsidP="00820CF0">
            <w:pPr>
              <w:rPr>
                <w:sz w:val="22"/>
                <w:szCs w:val="22"/>
              </w:rPr>
            </w:pPr>
          </w:p>
        </w:tc>
        <w:tc>
          <w:tcPr>
            <w:tcW w:w="780" w:type="dxa"/>
            <w:tcBorders>
              <w:top w:val="nil"/>
              <w:left w:val="nil"/>
              <w:bottom w:val="nil"/>
              <w:right w:val="nil"/>
            </w:tcBorders>
            <w:shd w:val="clear" w:color="auto" w:fill="auto"/>
            <w:noWrap/>
            <w:vAlign w:val="bottom"/>
            <w:hideMark/>
          </w:tcPr>
          <w:p w:rsidR="00362F08" w:rsidRPr="00A77A30" w:rsidRDefault="00362F08" w:rsidP="00820CF0">
            <w:pPr>
              <w:rPr>
                <w:sz w:val="22"/>
                <w:szCs w:val="22"/>
              </w:rPr>
            </w:pPr>
          </w:p>
        </w:tc>
        <w:tc>
          <w:tcPr>
            <w:tcW w:w="1105" w:type="dxa"/>
            <w:tcBorders>
              <w:top w:val="nil"/>
              <w:left w:val="nil"/>
              <w:bottom w:val="nil"/>
              <w:right w:val="nil"/>
            </w:tcBorders>
            <w:shd w:val="clear" w:color="auto" w:fill="auto"/>
            <w:noWrap/>
            <w:vAlign w:val="bottom"/>
            <w:hideMark/>
          </w:tcPr>
          <w:p w:rsidR="00362F08" w:rsidRPr="00A77A30" w:rsidRDefault="00362F08" w:rsidP="00820CF0">
            <w:pPr>
              <w:rPr>
                <w:sz w:val="22"/>
                <w:szCs w:val="22"/>
              </w:rPr>
            </w:pPr>
          </w:p>
        </w:tc>
        <w:tc>
          <w:tcPr>
            <w:tcW w:w="1600" w:type="dxa"/>
            <w:tcBorders>
              <w:top w:val="nil"/>
              <w:left w:val="nil"/>
              <w:bottom w:val="nil"/>
              <w:right w:val="nil"/>
            </w:tcBorders>
            <w:shd w:val="clear" w:color="auto" w:fill="auto"/>
            <w:noWrap/>
            <w:vAlign w:val="bottom"/>
            <w:hideMark/>
          </w:tcPr>
          <w:p w:rsidR="00362F08" w:rsidRPr="00A77A30" w:rsidRDefault="00362F08" w:rsidP="00820CF0">
            <w:pPr>
              <w:rPr>
                <w:sz w:val="22"/>
                <w:szCs w:val="22"/>
              </w:rPr>
            </w:pPr>
          </w:p>
        </w:tc>
        <w:tc>
          <w:tcPr>
            <w:tcW w:w="960" w:type="dxa"/>
            <w:tcBorders>
              <w:top w:val="nil"/>
              <w:left w:val="nil"/>
              <w:bottom w:val="nil"/>
              <w:right w:val="nil"/>
            </w:tcBorders>
            <w:shd w:val="clear" w:color="auto" w:fill="auto"/>
            <w:noWrap/>
            <w:vAlign w:val="bottom"/>
            <w:hideMark/>
          </w:tcPr>
          <w:p w:rsidR="00362F08" w:rsidRPr="00A77A30" w:rsidRDefault="00362F08" w:rsidP="00820CF0">
            <w:pPr>
              <w:rPr>
                <w:sz w:val="22"/>
                <w:szCs w:val="22"/>
              </w:rPr>
            </w:pPr>
          </w:p>
        </w:tc>
        <w:tc>
          <w:tcPr>
            <w:tcW w:w="1400" w:type="dxa"/>
            <w:tcBorders>
              <w:top w:val="nil"/>
              <w:left w:val="nil"/>
              <w:bottom w:val="nil"/>
              <w:right w:val="nil"/>
            </w:tcBorders>
            <w:shd w:val="clear" w:color="auto" w:fill="auto"/>
            <w:noWrap/>
            <w:vAlign w:val="bottom"/>
            <w:hideMark/>
          </w:tcPr>
          <w:p w:rsidR="00362F08" w:rsidRPr="00EC631E" w:rsidRDefault="00362F08" w:rsidP="00820CF0"/>
        </w:tc>
        <w:tc>
          <w:tcPr>
            <w:tcW w:w="905" w:type="dxa"/>
            <w:tcBorders>
              <w:top w:val="nil"/>
              <w:left w:val="nil"/>
              <w:bottom w:val="nil"/>
              <w:right w:val="nil"/>
            </w:tcBorders>
            <w:shd w:val="clear" w:color="auto" w:fill="auto"/>
            <w:noWrap/>
            <w:vAlign w:val="bottom"/>
            <w:hideMark/>
          </w:tcPr>
          <w:p w:rsidR="00362F08" w:rsidRPr="00EC631E" w:rsidRDefault="00362F08" w:rsidP="00820CF0"/>
        </w:tc>
        <w:tc>
          <w:tcPr>
            <w:tcW w:w="1505" w:type="dxa"/>
            <w:tcBorders>
              <w:top w:val="nil"/>
              <w:left w:val="nil"/>
              <w:bottom w:val="nil"/>
              <w:right w:val="nil"/>
            </w:tcBorders>
            <w:shd w:val="clear" w:color="auto" w:fill="auto"/>
            <w:noWrap/>
            <w:vAlign w:val="bottom"/>
            <w:hideMark/>
          </w:tcPr>
          <w:p w:rsidR="00362F08" w:rsidRPr="00EC631E" w:rsidRDefault="00362F08" w:rsidP="00820CF0"/>
        </w:tc>
        <w:tc>
          <w:tcPr>
            <w:tcW w:w="4214" w:type="dxa"/>
            <w:tcBorders>
              <w:top w:val="nil"/>
              <w:left w:val="nil"/>
              <w:bottom w:val="nil"/>
              <w:right w:val="nil"/>
            </w:tcBorders>
            <w:shd w:val="clear" w:color="auto" w:fill="auto"/>
            <w:noWrap/>
            <w:vAlign w:val="bottom"/>
            <w:hideMark/>
          </w:tcPr>
          <w:p w:rsidR="00362F08" w:rsidRPr="00EC631E" w:rsidRDefault="00362F08" w:rsidP="00820CF0"/>
        </w:tc>
      </w:tr>
      <w:tr w:rsidR="00362F08" w:rsidRPr="00EC631E" w:rsidTr="00820CF0">
        <w:trPr>
          <w:trHeight w:val="315"/>
        </w:trPr>
        <w:tc>
          <w:tcPr>
            <w:tcW w:w="7186" w:type="dxa"/>
            <w:gridSpan w:val="6"/>
            <w:tcBorders>
              <w:top w:val="nil"/>
              <w:left w:val="nil"/>
              <w:bottom w:val="nil"/>
              <w:right w:val="nil"/>
            </w:tcBorders>
            <w:shd w:val="clear" w:color="auto" w:fill="auto"/>
            <w:noWrap/>
            <w:vAlign w:val="center"/>
            <w:hideMark/>
          </w:tcPr>
          <w:p w:rsidR="00362F08" w:rsidRPr="00A77A30" w:rsidRDefault="00362F08" w:rsidP="00820CF0">
            <w:pPr>
              <w:rPr>
                <w:rFonts w:ascii="Calibri" w:hAnsi="Calibri" w:cs="Calibri"/>
                <w:b/>
                <w:bCs/>
                <w:color w:val="000000"/>
                <w:sz w:val="22"/>
                <w:szCs w:val="22"/>
              </w:rPr>
            </w:pPr>
            <w:r w:rsidRPr="00A77A30">
              <w:rPr>
                <w:rFonts w:ascii="Calibri" w:hAnsi="Calibri" w:cs="Calibri"/>
                <w:b/>
                <w:bCs/>
                <w:color w:val="000000"/>
                <w:sz w:val="22"/>
                <w:szCs w:val="22"/>
              </w:rPr>
              <w:t xml:space="preserve">Sveukupna početna kupoprodajna cijena u natječaju u kn: </w:t>
            </w:r>
            <w:r>
              <w:rPr>
                <w:rFonts w:ascii="Calibri" w:hAnsi="Calibri" w:cs="Calibri"/>
                <w:b/>
                <w:bCs/>
                <w:color w:val="000000"/>
                <w:sz w:val="22"/>
                <w:szCs w:val="22"/>
              </w:rPr>
              <w:t>442.344,96</w:t>
            </w:r>
          </w:p>
        </w:tc>
        <w:tc>
          <w:tcPr>
            <w:tcW w:w="1400" w:type="dxa"/>
            <w:tcBorders>
              <w:top w:val="nil"/>
              <w:left w:val="nil"/>
              <w:bottom w:val="nil"/>
              <w:right w:val="nil"/>
            </w:tcBorders>
            <w:shd w:val="clear" w:color="auto" w:fill="auto"/>
            <w:noWrap/>
            <w:vAlign w:val="bottom"/>
            <w:hideMark/>
          </w:tcPr>
          <w:p w:rsidR="00362F08" w:rsidRPr="00EC631E" w:rsidRDefault="00362F08" w:rsidP="00820CF0"/>
        </w:tc>
        <w:tc>
          <w:tcPr>
            <w:tcW w:w="905" w:type="dxa"/>
            <w:tcBorders>
              <w:top w:val="nil"/>
              <w:left w:val="nil"/>
              <w:bottom w:val="nil"/>
              <w:right w:val="nil"/>
            </w:tcBorders>
            <w:shd w:val="clear" w:color="auto" w:fill="auto"/>
            <w:noWrap/>
            <w:vAlign w:val="bottom"/>
            <w:hideMark/>
          </w:tcPr>
          <w:p w:rsidR="00362F08" w:rsidRPr="00EC631E" w:rsidRDefault="00362F08" w:rsidP="00820CF0"/>
        </w:tc>
        <w:tc>
          <w:tcPr>
            <w:tcW w:w="1505" w:type="dxa"/>
            <w:tcBorders>
              <w:top w:val="nil"/>
              <w:left w:val="nil"/>
              <w:bottom w:val="nil"/>
              <w:right w:val="nil"/>
            </w:tcBorders>
            <w:shd w:val="clear" w:color="auto" w:fill="auto"/>
            <w:noWrap/>
            <w:vAlign w:val="bottom"/>
            <w:hideMark/>
          </w:tcPr>
          <w:p w:rsidR="00362F08" w:rsidRPr="00EC631E" w:rsidRDefault="00362F08" w:rsidP="00820CF0"/>
        </w:tc>
        <w:tc>
          <w:tcPr>
            <w:tcW w:w="4214" w:type="dxa"/>
            <w:tcBorders>
              <w:top w:val="nil"/>
              <w:left w:val="nil"/>
              <w:bottom w:val="nil"/>
              <w:right w:val="nil"/>
            </w:tcBorders>
            <w:shd w:val="clear" w:color="auto" w:fill="auto"/>
            <w:noWrap/>
            <w:vAlign w:val="bottom"/>
            <w:hideMark/>
          </w:tcPr>
          <w:p w:rsidR="00362F08" w:rsidRPr="00EC631E" w:rsidRDefault="00362F08" w:rsidP="00820CF0"/>
        </w:tc>
      </w:tr>
    </w:tbl>
    <w:p w:rsidR="00362F08" w:rsidRDefault="00362F08"/>
    <w:sectPr w:rsidR="00362F08" w:rsidSect="00362F08">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RBookmanBlac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6A31"/>
    <w:multiLevelType w:val="hybridMultilevel"/>
    <w:tmpl w:val="5DBA04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821801"/>
    <w:rsid w:val="003228C2"/>
    <w:rsid w:val="00362F08"/>
    <w:rsid w:val="005A2359"/>
    <w:rsid w:val="00821801"/>
    <w:rsid w:val="008B07D8"/>
    <w:rsid w:val="008E5E47"/>
    <w:rsid w:val="00B97070"/>
    <w:rsid w:val="00D13673"/>
    <w:rsid w:val="00F924E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01"/>
    <w:pPr>
      <w:spacing w:after="0" w:line="240" w:lineRule="auto"/>
    </w:pPr>
    <w:rPr>
      <w:rFonts w:ascii="Times New Roman" w:eastAsia="Times New Roman" w:hAnsi="Times New Roman" w:cs="Times New Roman"/>
      <w:sz w:val="20"/>
      <w:szCs w:val="20"/>
      <w:lang w:eastAsia="hr-HR"/>
    </w:rPr>
  </w:style>
  <w:style w:type="paragraph" w:styleId="Naslov4">
    <w:name w:val="heading 4"/>
    <w:basedOn w:val="Normal"/>
    <w:next w:val="Normal"/>
    <w:link w:val="Naslov4Char"/>
    <w:qFormat/>
    <w:rsid w:val="00821801"/>
    <w:pPr>
      <w:keepNext/>
      <w:jc w:val="center"/>
      <w:outlineLvl w:val="3"/>
    </w:pPr>
    <w:rPr>
      <w:rFonts w:ascii="HRBookmanBlack" w:eastAsia="Arial Unicode MS" w:hAnsi="HRBookmanBlack" w:cs="Arial Unicode MS"/>
      <w:b/>
      <w:sz w:val="5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821801"/>
    <w:rPr>
      <w:rFonts w:ascii="HRBookmanBlack" w:eastAsia="Arial Unicode MS" w:hAnsi="HRBookmanBlack" w:cs="Arial Unicode MS"/>
      <w:b/>
      <w:sz w:val="52"/>
      <w:szCs w:val="20"/>
      <w:lang w:eastAsia="hr-HR"/>
    </w:rPr>
  </w:style>
  <w:style w:type="paragraph" w:styleId="Bezproreda">
    <w:name w:val="No Spacing"/>
    <w:basedOn w:val="Normal"/>
    <w:link w:val="BezproredaChar"/>
    <w:uiPriority w:val="1"/>
    <w:qFormat/>
    <w:rsid w:val="00821801"/>
    <w:rPr>
      <w:rFonts w:ascii="Calibri" w:eastAsia="MS Mincho" w:hAnsi="Calibri"/>
      <w:sz w:val="22"/>
      <w:szCs w:val="22"/>
      <w:lang w:eastAsia="ja-JP"/>
    </w:rPr>
  </w:style>
  <w:style w:type="character" w:customStyle="1" w:styleId="BezproredaChar">
    <w:name w:val="Bez proreda Char"/>
    <w:link w:val="Bezproreda"/>
    <w:uiPriority w:val="1"/>
    <w:rsid w:val="00821801"/>
    <w:rPr>
      <w:rFonts w:ascii="Calibri" w:eastAsia="MS Mincho" w:hAnsi="Calibri" w:cs="Times New Roman"/>
      <w:lang w:eastAsia="ja-JP"/>
    </w:rPr>
  </w:style>
  <w:style w:type="character" w:styleId="Hiperveza">
    <w:name w:val="Hyperlink"/>
    <w:basedOn w:val="Zadanifontodlomka"/>
    <w:uiPriority w:val="99"/>
    <w:unhideWhenUsed/>
    <w:rsid w:val="008218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nitovci.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Pročelnik</dc:creator>
  <cp:lastModifiedBy>Pročelnik</cp:lastModifiedBy>
  <cp:revision>2</cp:revision>
  <dcterms:created xsi:type="dcterms:W3CDTF">2022-04-28T12:38:00Z</dcterms:created>
  <dcterms:modified xsi:type="dcterms:W3CDTF">2022-04-28T12:41:00Z</dcterms:modified>
</cp:coreProperties>
</file>