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E83A4" w14:textId="47FAE82E" w:rsid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F548781" wp14:editId="399547B8">
            <wp:simplePos x="0" y="0"/>
            <wp:positionH relativeFrom="column">
              <wp:posOffset>862965</wp:posOffset>
            </wp:positionH>
            <wp:positionV relativeFrom="paragraph">
              <wp:posOffset>-81915</wp:posOffset>
            </wp:positionV>
            <wp:extent cx="581660" cy="769620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928CA" w14:textId="7663889C" w:rsid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9ED264" w14:textId="7E3A4EB1" w:rsid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A0521B" w14:textId="4D0DCF1F" w:rsid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20CD63" w14:textId="3C32D645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2C82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6474517D" w14:textId="77777777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2C82">
        <w:rPr>
          <w:rFonts w:ascii="Times New Roman" w:hAnsi="Times New Roman" w:cs="Times New Roman"/>
          <w:sz w:val="24"/>
          <w:szCs w:val="24"/>
        </w:rPr>
        <w:t>OSJEČKO – BARANJSKA ŽUPANIJA</w:t>
      </w:r>
    </w:p>
    <w:p w14:paraId="5D67126F" w14:textId="1DEA02D2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2C82">
        <w:rPr>
          <w:rFonts w:ascii="Times New Roman" w:hAnsi="Times New Roman" w:cs="Times New Roman"/>
          <w:sz w:val="24"/>
          <w:szCs w:val="24"/>
        </w:rPr>
        <w:t xml:space="preserve">            OPĆINA PUNITOVCI</w:t>
      </w:r>
    </w:p>
    <w:p w14:paraId="563B06FD" w14:textId="31193FD9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2C82">
        <w:rPr>
          <w:rFonts w:ascii="Times New Roman" w:hAnsi="Times New Roman" w:cs="Times New Roman"/>
          <w:sz w:val="24"/>
          <w:szCs w:val="24"/>
        </w:rPr>
        <w:t xml:space="preserve">              OIB: 75515406575</w:t>
      </w:r>
    </w:p>
    <w:p w14:paraId="3187E982" w14:textId="21A75548" w:rsidR="00102C82" w:rsidRPr="00102C82" w:rsidRDefault="00913F0F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STJEPANA RADIĆ</w:t>
      </w:r>
      <w:r w:rsidR="00102C82" w:rsidRPr="00102C82">
        <w:rPr>
          <w:rFonts w:ascii="Times New Roman" w:hAnsi="Times New Roman" w:cs="Times New Roman"/>
          <w:sz w:val="24"/>
          <w:szCs w:val="24"/>
        </w:rPr>
        <w:t>A 58</w:t>
      </w:r>
    </w:p>
    <w:p w14:paraId="4615F2A6" w14:textId="779B0D9F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2C82">
        <w:rPr>
          <w:rFonts w:ascii="Times New Roman" w:hAnsi="Times New Roman" w:cs="Times New Roman"/>
          <w:sz w:val="24"/>
          <w:szCs w:val="24"/>
        </w:rPr>
        <w:t xml:space="preserve">            31424 PUNITOVCI</w:t>
      </w:r>
    </w:p>
    <w:p w14:paraId="530A9CA6" w14:textId="228DB303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2C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7E0B" w14:textId="4DEB70EA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7861DD" w14:textId="77777777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4F040D" w14:textId="0CAFD4C9" w:rsidR="00102C82" w:rsidRPr="00102C82" w:rsidRDefault="00102C82" w:rsidP="00102C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2431FF" w14:textId="2EED209B" w:rsidR="00102C82" w:rsidRPr="00102C82" w:rsidRDefault="00102C82">
      <w:pPr>
        <w:rPr>
          <w:rFonts w:ascii="Times New Roman" w:hAnsi="Times New Roman" w:cs="Times New Roman"/>
        </w:rPr>
      </w:pPr>
    </w:p>
    <w:p w14:paraId="5A08AE14" w14:textId="1A0B11F4" w:rsidR="00102C82" w:rsidRPr="00102C82" w:rsidRDefault="00102C82">
      <w:pPr>
        <w:rPr>
          <w:rFonts w:ascii="Times New Roman" w:hAnsi="Times New Roman" w:cs="Times New Roman"/>
        </w:rPr>
      </w:pPr>
    </w:p>
    <w:p w14:paraId="35BC8B91" w14:textId="054A58C1" w:rsidR="00102C82" w:rsidRPr="00102C82" w:rsidRDefault="00102C82" w:rsidP="00102C82">
      <w:pPr>
        <w:jc w:val="center"/>
        <w:rPr>
          <w:rFonts w:ascii="Times New Roman" w:hAnsi="Times New Roman" w:cs="Times New Roman"/>
          <w:sz w:val="44"/>
          <w:szCs w:val="44"/>
        </w:rPr>
      </w:pPr>
      <w:r w:rsidRPr="00102C82">
        <w:rPr>
          <w:rFonts w:ascii="Times New Roman" w:hAnsi="Times New Roman" w:cs="Times New Roman"/>
          <w:sz w:val="44"/>
          <w:szCs w:val="44"/>
        </w:rPr>
        <w:t>VODIČ ZA GRAĐANE</w:t>
      </w:r>
    </w:p>
    <w:p w14:paraId="4141E129" w14:textId="50021983" w:rsidR="00102C82" w:rsidRPr="00102C82" w:rsidRDefault="00102C82" w:rsidP="00102C82">
      <w:pPr>
        <w:jc w:val="center"/>
        <w:rPr>
          <w:rFonts w:ascii="Times New Roman" w:hAnsi="Times New Roman" w:cs="Times New Roman"/>
          <w:sz w:val="44"/>
          <w:szCs w:val="44"/>
        </w:rPr>
      </w:pPr>
      <w:r w:rsidRPr="00102C82">
        <w:rPr>
          <w:rFonts w:ascii="Times New Roman" w:hAnsi="Times New Roman" w:cs="Times New Roman"/>
          <w:sz w:val="44"/>
          <w:szCs w:val="44"/>
        </w:rPr>
        <w:t>UZ PRORAČUN OPĆINE PUNITOVCI</w:t>
      </w:r>
    </w:p>
    <w:p w14:paraId="40879B2E" w14:textId="77777777" w:rsidR="009945B9" w:rsidRDefault="009945B9" w:rsidP="00102C8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B999CDD" w14:textId="0352B829" w:rsidR="00102C82" w:rsidRDefault="009945B9" w:rsidP="00102C8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ZA 2023. GODINU</w:t>
      </w:r>
      <w:r w:rsidR="00102C82" w:rsidRPr="00102C82">
        <w:rPr>
          <w:rFonts w:ascii="Times New Roman" w:hAnsi="Times New Roman" w:cs="Times New Roman"/>
          <w:sz w:val="44"/>
          <w:szCs w:val="44"/>
        </w:rPr>
        <w:t xml:space="preserve"> I PROJEKCIJE </w:t>
      </w:r>
      <w:r>
        <w:rPr>
          <w:rFonts w:ascii="Times New Roman" w:hAnsi="Times New Roman" w:cs="Times New Roman"/>
          <w:sz w:val="44"/>
          <w:szCs w:val="44"/>
        </w:rPr>
        <w:t>ZA 2024. I 2025. GODINU</w:t>
      </w:r>
    </w:p>
    <w:p w14:paraId="036BBFE3" w14:textId="77777777" w:rsidR="00074E20" w:rsidRDefault="00074E20" w:rsidP="00102C8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7AD13E5" w14:textId="05BE374F" w:rsidR="00074E20" w:rsidRDefault="00074E20" w:rsidP="00102C8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hr-HR"/>
        </w:rPr>
        <w:drawing>
          <wp:inline distT="0" distB="0" distL="0" distR="0" wp14:anchorId="6D5C74FD" wp14:editId="33F4FDF9">
            <wp:extent cx="1714739" cy="2057687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b-punitovc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9DC2" w14:textId="5BF7F2B1" w:rsidR="00102C82" w:rsidRDefault="00102C82" w:rsidP="00102C8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243CEA2" w14:textId="77777777" w:rsidR="00074E20" w:rsidRDefault="00074E20" w:rsidP="0007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13072447" wp14:editId="54ABEA2E">
            <wp:simplePos x="0" y="0"/>
            <wp:positionH relativeFrom="margin">
              <wp:align>left</wp:align>
            </wp:positionH>
            <wp:positionV relativeFrom="paragraph">
              <wp:posOffset>95288</wp:posOffset>
            </wp:positionV>
            <wp:extent cx="1514475" cy="2400935"/>
            <wp:effectExtent l="0" t="0" r="9525" b="0"/>
            <wp:wrapTight wrapText="bothSides">
              <wp:wrapPolygon edited="0">
                <wp:start x="0" y="0"/>
                <wp:lineTo x="0" y="21423"/>
                <wp:lineTo x="21464" y="21423"/>
                <wp:lineTo x="21464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asna matković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9" t="19718" r="10922" b="16030"/>
                    <a:stretch/>
                  </pic:blipFill>
                  <pic:spPr bwMode="auto">
                    <a:xfrm>
                      <a:off x="0" y="0"/>
                      <a:ext cx="1514475" cy="240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3A981" w14:textId="5E5B1A94" w:rsidR="00074E20" w:rsidRPr="00074E20" w:rsidRDefault="00102C82" w:rsidP="0007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Poštovane sumještanke i sumještani,</w:t>
      </w:r>
    </w:p>
    <w:p w14:paraId="349A9FFE" w14:textId="77777777" w:rsidR="00074E20" w:rsidRDefault="00074E20" w:rsidP="0007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3284D" w14:textId="77777777" w:rsidR="00074E20" w:rsidRDefault="00102C82" w:rsidP="0007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bismo vam financiranje iz općinskog proračuna što više približili i učinili ga tr</w:t>
      </w:r>
      <w:r w:rsidR="00E756A5">
        <w:rPr>
          <w:rFonts w:ascii="Times New Roman" w:hAnsi="Times New Roman" w:cs="Times New Roman"/>
          <w:sz w:val="24"/>
          <w:szCs w:val="24"/>
        </w:rPr>
        <w:t>ansparentnijim, pripremili smo</w:t>
      </w:r>
      <w:r w:rsidR="00913F0F">
        <w:rPr>
          <w:rFonts w:ascii="Times New Roman" w:hAnsi="Times New Roman" w:cs="Times New Roman"/>
          <w:sz w:val="24"/>
          <w:szCs w:val="24"/>
        </w:rPr>
        <w:t xml:space="preserve"> </w:t>
      </w:r>
      <w:r w:rsidR="00E756A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odič za građane uz Proračun 2023. godine. U ovom dokumentu smo na jednostavan način prikazali najvažnije prihode i primitke, te rashode i izdatke Općine Punitovci. </w:t>
      </w:r>
      <w:r w:rsidR="00074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FD774" w14:textId="5DFDCEAA" w:rsidR="00145A40" w:rsidRDefault="00913F0F" w:rsidP="00074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planiranja proračuna za 2023. godinu kao</w:t>
      </w:r>
      <w:r w:rsidR="002457A3">
        <w:rPr>
          <w:rFonts w:ascii="Times New Roman" w:hAnsi="Times New Roman" w:cs="Times New Roman"/>
          <w:sz w:val="24"/>
          <w:szCs w:val="24"/>
        </w:rPr>
        <w:t xml:space="preserve"> i do sada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C82">
        <w:rPr>
          <w:rFonts w:ascii="Times New Roman" w:hAnsi="Times New Roman" w:cs="Times New Roman"/>
          <w:sz w:val="24"/>
          <w:szCs w:val="24"/>
        </w:rPr>
        <w:t>vodili smo računa o stan</w:t>
      </w:r>
      <w:r w:rsidR="002457A3">
        <w:rPr>
          <w:rFonts w:ascii="Times New Roman" w:hAnsi="Times New Roman" w:cs="Times New Roman"/>
          <w:sz w:val="24"/>
          <w:szCs w:val="24"/>
        </w:rPr>
        <w:t>dardu života u Općini Punitovci.</w:t>
      </w:r>
      <w:r w:rsidR="00102C82">
        <w:rPr>
          <w:rFonts w:ascii="Times New Roman" w:hAnsi="Times New Roman" w:cs="Times New Roman"/>
          <w:sz w:val="24"/>
          <w:szCs w:val="24"/>
        </w:rPr>
        <w:t xml:space="preserve"> </w:t>
      </w:r>
      <w:r w:rsidR="002457A3">
        <w:rPr>
          <w:rFonts w:ascii="Times New Roman" w:hAnsi="Times New Roman" w:cs="Times New Roman"/>
          <w:sz w:val="24"/>
          <w:szCs w:val="24"/>
        </w:rPr>
        <w:t>Planiramo i dalje provoditi sufinanciranje</w:t>
      </w:r>
      <w:r w:rsidR="00102C82">
        <w:rPr>
          <w:rFonts w:ascii="Times New Roman" w:hAnsi="Times New Roman" w:cs="Times New Roman"/>
          <w:sz w:val="24"/>
          <w:szCs w:val="24"/>
        </w:rPr>
        <w:t xml:space="preserve"> predškolskog i školskog odgoja, pomoć starijim i nemoćnim osobama</w:t>
      </w:r>
      <w:r w:rsidR="002457A3">
        <w:rPr>
          <w:rFonts w:ascii="Times New Roman" w:hAnsi="Times New Roman" w:cs="Times New Roman"/>
          <w:sz w:val="24"/>
          <w:szCs w:val="24"/>
        </w:rPr>
        <w:t>, pomoć mladim obiteljima</w:t>
      </w:r>
      <w:r w:rsidR="00102C82">
        <w:rPr>
          <w:rFonts w:ascii="Times New Roman" w:hAnsi="Times New Roman" w:cs="Times New Roman"/>
          <w:sz w:val="24"/>
          <w:szCs w:val="24"/>
        </w:rPr>
        <w:t xml:space="preserve">. Kako bismo olakšali obrazovanje mladih ljudi i olakšali roditeljima financiranje školovanja, sufinanciramo </w:t>
      </w:r>
      <w:r w:rsidR="002457A3">
        <w:rPr>
          <w:rFonts w:ascii="Times New Roman" w:hAnsi="Times New Roman" w:cs="Times New Roman"/>
          <w:sz w:val="24"/>
          <w:szCs w:val="24"/>
        </w:rPr>
        <w:t xml:space="preserve"> trošak nabave školskog radnog materijala</w:t>
      </w:r>
      <w:r w:rsidR="00102C82">
        <w:rPr>
          <w:rFonts w:ascii="Times New Roman" w:hAnsi="Times New Roman" w:cs="Times New Roman"/>
          <w:sz w:val="24"/>
          <w:szCs w:val="24"/>
        </w:rPr>
        <w:t xml:space="preserve">, </w:t>
      </w:r>
      <w:r w:rsidR="00145A40">
        <w:rPr>
          <w:rFonts w:ascii="Times New Roman" w:hAnsi="Times New Roman" w:cs="Times New Roman"/>
          <w:sz w:val="24"/>
          <w:szCs w:val="24"/>
        </w:rPr>
        <w:t>p</w:t>
      </w:r>
      <w:r w:rsidR="001B26CF">
        <w:rPr>
          <w:rFonts w:ascii="Times New Roman" w:hAnsi="Times New Roman" w:cs="Times New Roman"/>
          <w:sz w:val="24"/>
          <w:szCs w:val="24"/>
        </w:rPr>
        <w:t>rijevoz učenika, školsku kuhinju</w:t>
      </w:r>
      <w:r w:rsidR="00145A40">
        <w:rPr>
          <w:rFonts w:ascii="Times New Roman" w:hAnsi="Times New Roman" w:cs="Times New Roman"/>
          <w:sz w:val="24"/>
          <w:szCs w:val="24"/>
        </w:rPr>
        <w:t xml:space="preserve"> i slično, a studente i srednjoškolce </w:t>
      </w:r>
      <w:r w:rsidR="002457A3">
        <w:rPr>
          <w:rFonts w:ascii="Times New Roman" w:hAnsi="Times New Roman" w:cs="Times New Roman"/>
          <w:sz w:val="24"/>
          <w:szCs w:val="24"/>
        </w:rPr>
        <w:t>podupiremo dodjelom stipendija i time ih potičemo na odgovorno i uspješno</w:t>
      </w:r>
      <w:r w:rsidR="001B26CF">
        <w:rPr>
          <w:rFonts w:ascii="Times New Roman" w:hAnsi="Times New Roman" w:cs="Times New Roman"/>
          <w:sz w:val="24"/>
          <w:szCs w:val="24"/>
        </w:rPr>
        <w:t xml:space="preserve"> učenje i</w:t>
      </w:r>
      <w:r w:rsidR="002457A3">
        <w:rPr>
          <w:rFonts w:ascii="Times New Roman" w:hAnsi="Times New Roman" w:cs="Times New Roman"/>
          <w:sz w:val="24"/>
          <w:szCs w:val="24"/>
        </w:rPr>
        <w:t xml:space="preserve"> studiranje</w:t>
      </w:r>
      <w:r w:rsidR="00145A40">
        <w:rPr>
          <w:rFonts w:ascii="Times New Roman" w:hAnsi="Times New Roman" w:cs="Times New Roman"/>
          <w:sz w:val="24"/>
          <w:szCs w:val="24"/>
        </w:rPr>
        <w:t>. Cilj nam je da što više mladih ljudi ostane u Općini i ovdje se zajedno s nama razvija.</w:t>
      </w:r>
    </w:p>
    <w:p w14:paraId="3AEACC4D" w14:textId="2D7278BD" w:rsidR="002457A3" w:rsidRDefault="002457A3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nastavljamo podupirati rad naših brojnih udruga i društava kroz koje mnogi od naših mještana nesebično daju svoje vrijeme</w:t>
      </w:r>
      <w:r w:rsidR="001B26CF">
        <w:rPr>
          <w:rFonts w:ascii="Times New Roman" w:hAnsi="Times New Roman" w:cs="Times New Roman"/>
          <w:sz w:val="24"/>
          <w:szCs w:val="24"/>
        </w:rPr>
        <w:t xml:space="preserve"> i oplemenjuju život u Općini.</w:t>
      </w:r>
    </w:p>
    <w:p w14:paraId="41D8C5A5" w14:textId="6E7934C8" w:rsidR="00145A40" w:rsidRDefault="00145A40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nastavljamo s projektima koje smo započeli i nadamo se završiti ih u istoj, o tome ćemo više u nastavku. Nadamo se da ćemo i dalje surađivati i</w:t>
      </w:r>
      <w:r w:rsidR="002457A3">
        <w:rPr>
          <w:rFonts w:ascii="Times New Roman" w:hAnsi="Times New Roman" w:cs="Times New Roman"/>
          <w:sz w:val="24"/>
          <w:szCs w:val="24"/>
        </w:rPr>
        <w:t xml:space="preserve"> stvarati našu bolju budućnost. S</w:t>
      </w:r>
      <w:r>
        <w:rPr>
          <w:rFonts w:ascii="Times New Roman" w:hAnsi="Times New Roman" w:cs="Times New Roman"/>
          <w:sz w:val="24"/>
          <w:szCs w:val="24"/>
        </w:rPr>
        <w:t xml:space="preserve">toga nam je jako </w:t>
      </w:r>
      <w:r w:rsidR="002457A3">
        <w:rPr>
          <w:rFonts w:ascii="Times New Roman" w:hAnsi="Times New Roman" w:cs="Times New Roman"/>
          <w:sz w:val="24"/>
          <w:szCs w:val="24"/>
        </w:rPr>
        <w:t xml:space="preserve">važna vaša povratna informacija, </w:t>
      </w:r>
    </w:p>
    <w:p w14:paraId="1EEB75E8" w14:textId="4A16FA1B" w:rsidR="00145A40" w:rsidRDefault="00145A40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B4B1E" w14:textId="3F1A9C4A" w:rsidR="00145A40" w:rsidRDefault="00145A40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Općinska načelnica</w:t>
      </w:r>
    </w:p>
    <w:p w14:paraId="7AEAA4A9" w14:textId="16BBE92C" w:rsidR="00145A40" w:rsidRDefault="00145A40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D078A" w14:textId="5EC150FF" w:rsidR="00145A40" w:rsidRDefault="00145A40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Jasna Matković</w:t>
      </w:r>
    </w:p>
    <w:p w14:paraId="08023C98" w14:textId="58DB3995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CE2F7" w14:textId="53DC15C4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BD9BE" w14:textId="3C1D2A30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836F3" w14:textId="7890D500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86133" w14:textId="5EC5D9A3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B2292" w14:textId="62AA2B81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3E65B" w14:textId="6EB8F983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9093B" w14:textId="11F3F2FB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2D74F" w14:textId="1B9AB643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EE389" w14:textId="027BC548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F8605" w14:textId="5628A08D" w:rsidR="00DC16CE" w:rsidRPr="009C292D" w:rsidRDefault="00DC16CE" w:rsidP="00DC16CE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C292D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ŠTO SE MOŽE SAZNATI IZ PRORAČUNA?</w:t>
      </w:r>
    </w:p>
    <w:p w14:paraId="6FA42519" w14:textId="77777777" w:rsidR="00DC16CE" w:rsidRDefault="00DC16CE" w:rsidP="00DC16C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9456BEC" w14:textId="77777777" w:rsidR="00DC16CE" w:rsidRDefault="00DC16CE" w:rsidP="00DC16C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i koliki prihodi Općine Punitovci?</w:t>
      </w:r>
    </w:p>
    <w:p w14:paraId="374A0B1C" w14:textId="77777777" w:rsidR="00DC16CE" w:rsidRDefault="00DC16CE" w:rsidP="00DC16C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Koliki su ukupni rashodi Općine?</w:t>
      </w:r>
    </w:p>
    <w:p w14:paraId="2E990ADD" w14:textId="77777777" w:rsidR="00DC16CE" w:rsidRDefault="00DC16CE" w:rsidP="00DC16C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sve Općina može financirati?</w:t>
      </w:r>
    </w:p>
    <w:p w14:paraId="40428405" w14:textId="77777777" w:rsidR="00DC16CE" w:rsidRDefault="00DC16CE" w:rsidP="00DC16C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troši na funkcioniranje Općine?</w:t>
      </w:r>
    </w:p>
    <w:p w14:paraId="52CF9572" w14:textId="77777777" w:rsidR="00DC16CE" w:rsidRDefault="00DC16CE" w:rsidP="00DC16C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novca troši na kulturu, udruge, sport, predškolski i školski odgoj?</w:t>
      </w:r>
    </w:p>
    <w:p w14:paraId="00A52A42" w14:textId="77777777" w:rsidR="00DC16CE" w:rsidRDefault="00DC16CE" w:rsidP="00DC16C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ulaže u komunalnu infrastrukturu?</w:t>
      </w:r>
    </w:p>
    <w:p w14:paraId="5B52D268" w14:textId="77777777" w:rsidR="00DC16CE" w:rsidRDefault="00DC16CE" w:rsidP="00DC16C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ulaže u izgradnju komunalne infrastrukture?</w:t>
      </w:r>
    </w:p>
    <w:p w14:paraId="09A3F3D0" w14:textId="77777777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79798" w14:textId="77777777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C0BB5" w14:textId="53BDF89E" w:rsidR="00DC16CE" w:rsidRPr="009C292D" w:rsidRDefault="00DC16CE" w:rsidP="00DC16CE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C292D">
        <w:rPr>
          <w:rFonts w:ascii="Times New Roman" w:hAnsi="Times New Roman" w:cs="Times New Roman"/>
          <w:color w:val="4472C4" w:themeColor="accent1"/>
          <w:sz w:val="24"/>
          <w:szCs w:val="24"/>
        </w:rPr>
        <w:t>ŠTO JE PRORAČUN?</w:t>
      </w:r>
    </w:p>
    <w:p w14:paraId="6E8B9ECA" w14:textId="415012B2" w:rsidR="00DC16CE" w:rsidRDefault="00DC16CE" w:rsidP="00DC1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je temeljni financijski pravni akt u kojem su utvrđeni svi prihodi i rashodi </w:t>
      </w:r>
      <w:r w:rsidR="00913F0F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za proračunsku godinu od 01.01. do 31.12. Proračun se donosi krajem tekuće godine za narednu proračunsku godinu.  </w:t>
      </w:r>
    </w:p>
    <w:p w14:paraId="01A83E16" w14:textId="2890C1A9" w:rsidR="00DC16CE" w:rsidRDefault="00DC16CE" w:rsidP="00DC1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pre</w:t>
      </w:r>
      <w:r w:rsidR="00E756A5">
        <w:rPr>
          <w:rFonts w:ascii="Times New Roman" w:hAnsi="Times New Roman" w:cs="Times New Roman"/>
          <w:sz w:val="24"/>
          <w:szCs w:val="24"/>
        </w:rPr>
        <w:t>dlaže Načelnica</w:t>
      </w:r>
      <w:r>
        <w:rPr>
          <w:rFonts w:ascii="Times New Roman" w:hAnsi="Times New Roman" w:cs="Times New Roman"/>
          <w:sz w:val="24"/>
          <w:szCs w:val="24"/>
        </w:rPr>
        <w:t xml:space="preserve">, a donosi ga Općinsko vijeće Općine Punitovci. Mora se </w:t>
      </w:r>
      <w:r w:rsidR="00913F0F">
        <w:rPr>
          <w:rFonts w:ascii="Times New Roman" w:hAnsi="Times New Roman" w:cs="Times New Roman"/>
          <w:sz w:val="24"/>
          <w:szCs w:val="24"/>
        </w:rPr>
        <w:t>izglasati</w:t>
      </w:r>
      <w:r>
        <w:rPr>
          <w:rFonts w:ascii="Times New Roman" w:hAnsi="Times New Roman" w:cs="Times New Roman"/>
          <w:sz w:val="24"/>
          <w:szCs w:val="24"/>
        </w:rPr>
        <w:t xml:space="preserve"> najkasnije do kraja tekuće godine za iduću godinu.</w:t>
      </w:r>
    </w:p>
    <w:p w14:paraId="320A53F8" w14:textId="3621B1A6" w:rsidR="00DC16CE" w:rsidRPr="00DC16CE" w:rsidRDefault="00DC16CE" w:rsidP="00DC16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t>Navedenim aktom omogućava se financiranje poslova, funkcija i programa koje izvršava općinska uprava, radi ostvarivanja javnih potreba i prava građana, koji se temeljem posebnih zakona i drugih na zakonu zasnovanih propisa financiraju iz javnih</w:t>
      </w:r>
      <w:r w:rsidR="00E756A5">
        <w:rPr>
          <w:rFonts w:ascii="Times New Roman" w:hAnsi="Times New Roman" w:cs="Times New Roman"/>
          <w:sz w:val="24"/>
          <w:szCs w:val="24"/>
        </w:rPr>
        <w:t xml:space="preserve"> prihoda, odnosno iz proračuna O</w:t>
      </w:r>
      <w:r w:rsidRPr="00DC16CE">
        <w:rPr>
          <w:rFonts w:ascii="Times New Roman" w:hAnsi="Times New Roman" w:cs="Times New Roman"/>
          <w:sz w:val="24"/>
          <w:szCs w:val="24"/>
        </w:rPr>
        <w:t>pćine. Pri sastavljanju prijedloga planskih dokumenata za slijedeće trogodišnje razdoblje obveza je primijeniti zakonom propisanu metodologiju vezano za sadržaj proračuna, programsko planiranje, proračunske klasifikacije i drugo.</w:t>
      </w:r>
    </w:p>
    <w:p w14:paraId="6CC04B32" w14:textId="0908C1C8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t xml:space="preserve">Proračun Općine </w:t>
      </w:r>
      <w:r>
        <w:rPr>
          <w:rFonts w:ascii="Times New Roman" w:hAnsi="Times New Roman" w:cs="Times New Roman"/>
          <w:sz w:val="24"/>
          <w:szCs w:val="24"/>
        </w:rPr>
        <w:t>Punitovci</w:t>
      </w:r>
      <w:r w:rsidRPr="00DC16CE">
        <w:rPr>
          <w:rFonts w:ascii="Times New Roman" w:hAnsi="Times New Roman" w:cs="Times New Roman"/>
          <w:sz w:val="24"/>
          <w:szCs w:val="24"/>
        </w:rPr>
        <w:t xml:space="preserve"> sastoji se od općeg i posebnog dijela.</w:t>
      </w:r>
    </w:p>
    <w:p w14:paraId="1EC9CA06" w14:textId="77777777" w:rsidR="00DC16CE" w:rsidRP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t xml:space="preserve">Opći dio proračuna sadrži: </w:t>
      </w:r>
    </w:p>
    <w:p w14:paraId="3E581608" w14:textId="77777777" w:rsidR="00DC16CE" w:rsidRP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t>- račun prihoda i rashoda koji se sastoji od prihoda i rashoda po ekonomskoj klasifikaciji,</w:t>
      </w:r>
    </w:p>
    <w:p w14:paraId="2C3DD1AE" w14:textId="77777777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t>- račun financiranja u kojem se iskazuju svi primici od financijske imovine i zaduživanja, te izdaci za financijsku imovinu i za otplatu kredita i zajmova.</w:t>
      </w:r>
    </w:p>
    <w:p w14:paraId="2FFECEFA" w14:textId="32AA18D2" w:rsidR="00DC16CE" w:rsidRDefault="00DC16CE" w:rsidP="00DC16C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t>Posebni dio proračuna sastoji se od plana rashoda i izdataka proračuna po vrstama, raspoređenih u programe koji se sastoje od aktivnosti i projekata.</w:t>
      </w:r>
    </w:p>
    <w:p w14:paraId="4191C29B" w14:textId="3F1A46B0" w:rsidR="009C292D" w:rsidRPr="009C292D" w:rsidRDefault="009C292D" w:rsidP="009C292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Jedno od važnih načela proračuna je da isti mora biti URAVNOTEŽEN!</w:t>
      </w:r>
    </w:p>
    <w:p w14:paraId="25B4B1CB" w14:textId="15E0A3E4" w:rsidR="009C292D" w:rsidRPr="009C292D" w:rsidRDefault="009C292D" w:rsidP="009C292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Ukupna visina planiranih prihoda mora biti jednaka ukupnoj visini planiranih rashoda.</w:t>
      </w:r>
    </w:p>
    <w:p w14:paraId="035B12BF" w14:textId="77777777" w:rsidR="00074E20" w:rsidRDefault="009C292D" w:rsidP="009C292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Određeni rashodi mogu se financirati isključivo iz određenih prihoda – namjenski prihodi.</w:t>
      </w:r>
    </w:p>
    <w:p w14:paraId="66AC6D07" w14:textId="77777777" w:rsidR="00074E20" w:rsidRDefault="00074E20" w:rsidP="00074E2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11C9FBF" w14:textId="77777777" w:rsidR="00074E20" w:rsidRDefault="00074E20" w:rsidP="00074E2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2293DCD" w14:textId="77777777" w:rsidR="00074E20" w:rsidRDefault="00074E20" w:rsidP="00074E2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334AC07" w14:textId="77777777" w:rsidR="00074E20" w:rsidRDefault="00074E20" w:rsidP="00074E2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6B8581E" w14:textId="77777777" w:rsidR="00074E20" w:rsidRDefault="00074E20" w:rsidP="00074E2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9194CFD" w14:textId="77777777" w:rsidR="00074E20" w:rsidRDefault="00074E20" w:rsidP="00074E2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AAB7ACD" w14:textId="77777777" w:rsidR="00074E20" w:rsidRDefault="00074E20" w:rsidP="00074E2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11CB88B" w14:textId="57EAD2F9" w:rsidR="009C292D" w:rsidRPr="00074E20" w:rsidRDefault="009C292D" w:rsidP="00074E20">
      <w:pPr>
        <w:jc w:val="both"/>
        <w:rPr>
          <w:rFonts w:ascii="Times New Roman" w:hAnsi="Times New Roman" w:cs="Times New Roman"/>
          <w:sz w:val="24"/>
          <w:szCs w:val="24"/>
        </w:rPr>
      </w:pPr>
      <w:r w:rsidRPr="00074E20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NAČELA PRORAČUNA?</w:t>
      </w:r>
    </w:p>
    <w:p w14:paraId="6A828102" w14:textId="17F9DDD8" w:rsidR="009C292D" w:rsidRPr="00074E20" w:rsidRDefault="00E756A5" w:rsidP="00074E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E20">
        <w:rPr>
          <w:rFonts w:ascii="Times New Roman" w:hAnsi="Times New Roman" w:cs="Times New Roman"/>
          <w:sz w:val="24"/>
          <w:szCs w:val="24"/>
        </w:rPr>
        <w:t xml:space="preserve">Ovih </w:t>
      </w:r>
      <w:r w:rsidR="009C292D" w:rsidRPr="00074E20">
        <w:rPr>
          <w:rFonts w:ascii="Times New Roman" w:hAnsi="Times New Roman" w:cs="Times New Roman"/>
          <w:sz w:val="24"/>
          <w:szCs w:val="24"/>
        </w:rPr>
        <w:t xml:space="preserve">načela trebaju </w:t>
      </w:r>
      <w:r w:rsidRPr="00074E20">
        <w:rPr>
          <w:rFonts w:ascii="Times New Roman" w:hAnsi="Times New Roman" w:cs="Times New Roman"/>
          <w:sz w:val="24"/>
          <w:szCs w:val="24"/>
        </w:rPr>
        <w:t xml:space="preserve">se </w:t>
      </w:r>
      <w:r w:rsidR="009C292D" w:rsidRPr="00074E20">
        <w:rPr>
          <w:rFonts w:ascii="Times New Roman" w:hAnsi="Times New Roman" w:cs="Times New Roman"/>
          <w:sz w:val="24"/>
          <w:szCs w:val="24"/>
        </w:rPr>
        <w:t>pridržavati svi koji se bave proračunom:</w:t>
      </w:r>
    </w:p>
    <w:p w14:paraId="1CA083B0" w14:textId="77777777" w:rsidR="009C292D" w:rsidRPr="009C292D" w:rsidRDefault="009C292D" w:rsidP="009C292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B9C0870" w14:textId="5A6ABC34" w:rsidR="009C292D" w:rsidRDefault="00E756A5" w:rsidP="009C292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Načelo uravnoteženosti - znač</w:t>
      </w:r>
      <w:r w:rsidR="009C292D" w:rsidRPr="009C292D">
        <w:rPr>
          <w:rFonts w:ascii="Times New Roman" w:hAnsi="Times New Roman" w:cs="Times New Roman"/>
          <w:sz w:val="24"/>
          <w:szCs w:val="24"/>
        </w:rPr>
        <w:t>i da prihodi trebaju biti jednaki rashodima, te da se smije koristiti samo onoliko sredstava koliko ih se može prikupiti</w:t>
      </w:r>
    </w:p>
    <w:p w14:paraId="7F4E3A1D" w14:textId="77777777" w:rsidR="009C292D" w:rsidRPr="009C292D" w:rsidRDefault="009C292D" w:rsidP="009C292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CE95BD1" w14:textId="0B16CC39" w:rsidR="009C292D" w:rsidRDefault="009C292D" w:rsidP="00E756A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Načelo jedne godine – proračun se donosi za jednu godinu za koju se planiraju prihodi i rashodi, a osim toga potrebno je planirati i sredstva za pokriće obveza preuzetih u prethodnim godinama</w:t>
      </w:r>
    </w:p>
    <w:p w14:paraId="5639B1FA" w14:textId="77777777" w:rsidR="00E756A5" w:rsidRPr="00E756A5" w:rsidRDefault="00E756A5" w:rsidP="00E756A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4A55850" w14:textId="77777777" w:rsidR="00E756A5" w:rsidRPr="00E756A5" w:rsidRDefault="00E756A5" w:rsidP="00E756A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005499D" w14:textId="12E49DA2" w:rsidR="009C292D" w:rsidRDefault="009C292D" w:rsidP="009C292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Načelo jedinstva i točnosti – znači da se svi prihodi i rashodi proračunskih i izvanproračunskih korisnika moraju prikazivati po bruto načelu, svi njihovi rashodi se moraju iskazivati po funkcijama i programima u visini utvrđenoj proračunom</w:t>
      </w:r>
    </w:p>
    <w:p w14:paraId="677FF90F" w14:textId="77777777" w:rsidR="009C292D" w:rsidRPr="009C292D" w:rsidRDefault="009C292D" w:rsidP="009C292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5E5F29D" w14:textId="3382B0E8" w:rsidR="009C292D" w:rsidRDefault="009C292D" w:rsidP="009C292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Načelo univerzalnosti – svi prihodi i primici služe za podmirivanje svih rashoda i izdataka, osim ako zakonom i odlukama nije drugačije propisano</w:t>
      </w:r>
    </w:p>
    <w:p w14:paraId="48AC0076" w14:textId="77777777" w:rsidR="009C292D" w:rsidRPr="009C292D" w:rsidRDefault="009C292D" w:rsidP="009C292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C982CF" w14:textId="77777777" w:rsidR="009C292D" w:rsidRPr="009C292D" w:rsidRDefault="009C292D" w:rsidP="009C292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1993E11" w14:textId="50D2058B" w:rsidR="009C292D" w:rsidRDefault="009C292D" w:rsidP="009C292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 xml:space="preserve">Načelo specifikacije – svi prihodi trebaju biti raspoređeni po ekonomskoj klasifikaciji i iskazani prema izvorima, a rashodi prema proračunskim klasifikacijama i uravnoteženi s prihodima. </w:t>
      </w:r>
    </w:p>
    <w:p w14:paraId="242B7692" w14:textId="7ABA9109" w:rsidR="009C292D" w:rsidRDefault="009C292D" w:rsidP="009C2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CAC6F" w14:textId="77777777" w:rsidR="009C292D" w:rsidRPr="009C292D" w:rsidRDefault="009C292D" w:rsidP="009C292D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C292D">
        <w:rPr>
          <w:rFonts w:ascii="Times New Roman" w:hAnsi="Times New Roman" w:cs="Times New Roman"/>
          <w:color w:val="4472C4" w:themeColor="accent1"/>
          <w:sz w:val="24"/>
          <w:szCs w:val="24"/>
        </w:rPr>
        <w:t>KAKO SE OPĆINA MOŽE ZADUŽIVATI?</w:t>
      </w:r>
    </w:p>
    <w:p w14:paraId="5F500D11" w14:textId="77777777" w:rsidR="009C292D" w:rsidRPr="009C292D" w:rsidRDefault="009C292D" w:rsidP="009C292D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D1230DA" w14:textId="725C6D7D" w:rsidR="009C292D" w:rsidRDefault="00E756A5" w:rsidP="00E756A5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Dugoročno zaduživanje:</w:t>
      </w:r>
    </w:p>
    <w:p w14:paraId="0508F41E" w14:textId="77777777" w:rsidR="00E756A5" w:rsidRDefault="00E756A5" w:rsidP="00E756A5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5DE8CF58" w14:textId="1C283912" w:rsidR="009C292D" w:rsidRDefault="00E756A5" w:rsidP="009C292D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C292D">
        <w:rPr>
          <w:rFonts w:ascii="Times New Roman" w:hAnsi="Times New Roman" w:cs="Times New Roman"/>
          <w:sz w:val="24"/>
          <w:szCs w:val="24"/>
        </w:rPr>
        <w:t>sključivo za kapitalne investicije</w:t>
      </w:r>
    </w:p>
    <w:p w14:paraId="47674CFE" w14:textId="1233236C" w:rsidR="009C292D" w:rsidRDefault="00E756A5" w:rsidP="009C292D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C292D">
        <w:rPr>
          <w:rFonts w:ascii="Times New Roman" w:hAnsi="Times New Roman" w:cs="Times New Roman"/>
          <w:sz w:val="24"/>
          <w:szCs w:val="24"/>
        </w:rPr>
        <w:t>otrebna je prethodna suglasnost Općinskog vijeća</w:t>
      </w:r>
    </w:p>
    <w:p w14:paraId="610186EF" w14:textId="618DB86C" w:rsidR="009C292D" w:rsidRDefault="00913F0F" w:rsidP="009C292D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kapitalna </w:t>
      </w:r>
      <w:r w:rsidR="00E756A5">
        <w:rPr>
          <w:rFonts w:ascii="Times New Roman" w:hAnsi="Times New Roman" w:cs="Times New Roman"/>
          <w:sz w:val="24"/>
          <w:szCs w:val="24"/>
        </w:rPr>
        <w:t>i</w:t>
      </w:r>
      <w:r w:rsidR="009C292D">
        <w:rPr>
          <w:rFonts w:ascii="Times New Roman" w:hAnsi="Times New Roman" w:cs="Times New Roman"/>
          <w:sz w:val="24"/>
          <w:szCs w:val="24"/>
        </w:rPr>
        <w:t>nvesticija mora biti planirana u Proračunu</w:t>
      </w:r>
    </w:p>
    <w:p w14:paraId="12A276CA" w14:textId="40767522" w:rsidR="009C292D" w:rsidRDefault="00E756A5" w:rsidP="009C292D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C292D">
        <w:rPr>
          <w:rFonts w:ascii="Times New Roman" w:hAnsi="Times New Roman" w:cs="Times New Roman"/>
          <w:sz w:val="24"/>
          <w:szCs w:val="24"/>
        </w:rPr>
        <w:t>uglasnost Vlade Republike Hrvatske</w:t>
      </w:r>
    </w:p>
    <w:p w14:paraId="7DB3CF70" w14:textId="57D5C081" w:rsidR="009C292D" w:rsidRDefault="00E756A5" w:rsidP="009C292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9C292D">
        <w:rPr>
          <w:rFonts w:ascii="Times New Roman" w:hAnsi="Times New Roman" w:cs="Times New Roman"/>
          <w:sz w:val="24"/>
          <w:szCs w:val="24"/>
        </w:rPr>
        <w:t xml:space="preserve"> opseg zaduženja (godišnja obveza anuiteta po zaduženju Općine kao i danim anuitetima p</w:t>
      </w:r>
      <w:r w:rsidR="00913F0F">
        <w:rPr>
          <w:rFonts w:ascii="Times New Roman" w:hAnsi="Times New Roman" w:cs="Times New Roman"/>
          <w:sz w:val="24"/>
          <w:szCs w:val="24"/>
        </w:rPr>
        <w:t xml:space="preserve">o danim jamstvima i suglasnost </w:t>
      </w:r>
      <w:r w:rsidR="009C292D">
        <w:rPr>
          <w:rFonts w:ascii="Times New Roman" w:hAnsi="Times New Roman" w:cs="Times New Roman"/>
          <w:sz w:val="24"/>
          <w:szCs w:val="24"/>
        </w:rPr>
        <w:t>trgovačkim društvima i ustanovama Općine ne smije prelaziti 20% prihoda proračuna bez prihoda od domaćih i stranih pomoći, donacija, sufinanciranja građana)</w:t>
      </w:r>
    </w:p>
    <w:p w14:paraId="7629F465" w14:textId="77777777" w:rsidR="009C292D" w:rsidRDefault="009C292D" w:rsidP="009C292D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4291B882" w14:textId="5E555753" w:rsidR="009C292D" w:rsidRDefault="00E756A5" w:rsidP="00E756A5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Kratkoročno zaduživanje: </w:t>
      </w:r>
    </w:p>
    <w:p w14:paraId="0B03E3A5" w14:textId="77777777" w:rsidR="00E756A5" w:rsidRDefault="00E756A5" w:rsidP="00E756A5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</w:p>
    <w:p w14:paraId="632F3C89" w14:textId="77777777" w:rsidR="009C292D" w:rsidRDefault="009C292D" w:rsidP="009C292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posebnih suglasnosti </w:t>
      </w:r>
    </w:p>
    <w:p w14:paraId="2632492F" w14:textId="77777777" w:rsidR="009C292D" w:rsidRDefault="009C292D" w:rsidP="009C292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Pokriće nelikvidnosti </w:t>
      </w:r>
    </w:p>
    <w:p w14:paraId="722E5BC0" w14:textId="12EEAE73" w:rsidR="009C292D" w:rsidRDefault="009C292D" w:rsidP="009C292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 jedne godine</w:t>
      </w:r>
    </w:p>
    <w:p w14:paraId="69A73955" w14:textId="4F4F5DA0" w:rsidR="00410B3B" w:rsidRDefault="00410B3B" w:rsidP="00410B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C7A49C" w14:textId="3002B436" w:rsidR="00410B3B" w:rsidRPr="00410B3B" w:rsidRDefault="00410B3B" w:rsidP="00410B3B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7E2C40F" w14:textId="77777777" w:rsidR="00410B3B" w:rsidRDefault="00410B3B" w:rsidP="00410B3B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383D16C4" w14:textId="77777777" w:rsidR="00410B3B" w:rsidRDefault="00410B3B" w:rsidP="00410B3B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72C856A7" w14:textId="1A9F1C72" w:rsidR="00410B3B" w:rsidRDefault="00410B3B" w:rsidP="00410B3B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10B3B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KAKO SE DONOSI LOKALNI PRORAČUN?</w:t>
      </w:r>
    </w:p>
    <w:p w14:paraId="7DD40255" w14:textId="496A6180" w:rsidR="00410B3B" w:rsidRDefault="00410B3B" w:rsidP="00410B3B">
      <w:pPr>
        <w:pStyle w:val="Bezproreda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6CD4CB9" w14:textId="77777777" w:rsidR="00410B3B" w:rsidRPr="00913F0F" w:rsidRDefault="00410B3B" w:rsidP="00410B3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F">
        <w:rPr>
          <w:rFonts w:ascii="Times New Roman" w:hAnsi="Times New Roman" w:cs="Times New Roman"/>
          <w:sz w:val="24"/>
          <w:szCs w:val="24"/>
        </w:rPr>
        <w:t>1. Ministarstvo financija na temelju smjernica Vlade sastavlja upute za izradu lokalnih proračuna te ih dostavlja lokalnim jedinicama do 15. kolovoza tekuće godine.</w:t>
      </w:r>
    </w:p>
    <w:p w14:paraId="4D052681" w14:textId="6A816C45" w:rsidR="00410B3B" w:rsidRPr="00913F0F" w:rsidRDefault="00E756A5" w:rsidP="00410B3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F">
        <w:rPr>
          <w:rFonts w:ascii="Times New Roman" w:hAnsi="Times New Roman" w:cs="Times New Roman"/>
          <w:sz w:val="24"/>
          <w:szCs w:val="24"/>
        </w:rPr>
        <w:t>2. Sukladno tim uputama</w:t>
      </w:r>
      <w:r w:rsidR="00410B3B" w:rsidRPr="00913F0F">
        <w:rPr>
          <w:rFonts w:ascii="Times New Roman" w:hAnsi="Times New Roman" w:cs="Times New Roman"/>
          <w:sz w:val="24"/>
          <w:szCs w:val="24"/>
        </w:rPr>
        <w:t xml:space="preserve"> upravna tijela za financije lokalnih jedinica izrađuju i dostavljaju upute svojim proračunskim i izvanproračunskim korisnicima.</w:t>
      </w:r>
    </w:p>
    <w:p w14:paraId="59A2FFC6" w14:textId="77777777" w:rsidR="00410B3B" w:rsidRPr="00913F0F" w:rsidRDefault="00410B3B" w:rsidP="00410B3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F">
        <w:rPr>
          <w:rFonts w:ascii="Times New Roman" w:hAnsi="Times New Roman" w:cs="Times New Roman"/>
          <w:sz w:val="24"/>
          <w:szCs w:val="24"/>
        </w:rPr>
        <w:t>3. Proračunski i izvanproračunski korisnici izrađuju prijedloge financijskih planova i dostavljaju ih upravnom tijelu za financije najkasnije do 15. rujna.</w:t>
      </w:r>
    </w:p>
    <w:p w14:paraId="5D3B31C2" w14:textId="77777777" w:rsidR="00410B3B" w:rsidRPr="00913F0F" w:rsidRDefault="00410B3B" w:rsidP="00410B3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F">
        <w:rPr>
          <w:rFonts w:ascii="Times New Roman" w:hAnsi="Times New Roman" w:cs="Times New Roman"/>
          <w:sz w:val="24"/>
          <w:szCs w:val="24"/>
        </w:rPr>
        <w:t>4. Upravno tijelo za financije razmatra prijedloge i usklađuje financijske planove s procijenjenim prihodima te izrađuje nacrt proračuna za iduću i projekcije za sljedeće dvije godine pa ih dostavlja izvršnom tijelu (načelniku) najkasnije do 15. listopada.</w:t>
      </w:r>
    </w:p>
    <w:p w14:paraId="42F0CFB8" w14:textId="77777777" w:rsidR="00410B3B" w:rsidRPr="00913F0F" w:rsidRDefault="00410B3B" w:rsidP="00410B3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F">
        <w:rPr>
          <w:rFonts w:ascii="Times New Roman" w:hAnsi="Times New Roman" w:cs="Times New Roman"/>
          <w:sz w:val="24"/>
          <w:szCs w:val="24"/>
        </w:rPr>
        <w:t>5. Izvršno tijelo (načelnik) utvrđuje prijedlog proračuna i projekcije te ih podnosi predstavničkom tijelu (općinskom vijeću) najkasnije do 15. studenog.</w:t>
      </w:r>
    </w:p>
    <w:p w14:paraId="2B5DA36E" w14:textId="77777777" w:rsidR="00410B3B" w:rsidRPr="00913F0F" w:rsidRDefault="00410B3B" w:rsidP="00410B3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F">
        <w:rPr>
          <w:rFonts w:ascii="Times New Roman" w:hAnsi="Times New Roman" w:cs="Times New Roman"/>
          <w:sz w:val="24"/>
          <w:szCs w:val="24"/>
        </w:rPr>
        <w:t>6. Predstavničko tijelo (općinsko vijeće) donosi proračun za iduću i projekcije za sljedeće dvije godine do kraja tekuće godine, i to u roku koji omogućuje primjenu proračuna do 1. siječnja.</w:t>
      </w:r>
    </w:p>
    <w:p w14:paraId="32251E32" w14:textId="4053CEBE" w:rsidR="009C292D" w:rsidRPr="00913F0F" w:rsidRDefault="00410B3B" w:rsidP="009C292D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F">
        <w:rPr>
          <w:rFonts w:ascii="Times New Roman" w:hAnsi="Times New Roman" w:cs="Times New Roman"/>
          <w:sz w:val="24"/>
          <w:szCs w:val="24"/>
        </w:rPr>
        <w:t>7. Načelnik dostavlja proračun Ministarstvu financija u roku od petnaest dana do njegovog stupanja na snagu.</w:t>
      </w:r>
    </w:p>
    <w:p w14:paraId="6A2F1F62" w14:textId="2CD3D85B" w:rsidR="00E167B5" w:rsidRDefault="00E167B5" w:rsidP="009C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FE829" w14:textId="0791520D" w:rsidR="00E167B5" w:rsidRDefault="00E167B5" w:rsidP="009C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6D05719F" wp14:editId="54919DF2">
            <wp:extent cx="5486400" cy="2956560"/>
            <wp:effectExtent l="0" t="0" r="0" b="1524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5B6630" w14:textId="77777777" w:rsidR="00074E20" w:rsidRDefault="00E167B5" w:rsidP="00074E2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167B5">
        <w:rPr>
          <w:rFonts w:ascii="Times New Roman" w:hAnsi="Times New Roman" w:cs="Times New Roman"/>
          <w:i/>
          <w:iCs/>
          <w:sz w:val="20"/>
          <w:szCs w:val="20"/>
        </w:rPr>
        <w:t>Grafikon 1. Proračun 2023. i projekcije 2024. i 2025.</w:t>
      </w:r>
    </w:p>
    <w:p w14:paraId="5F92CBBC" w14:textId="77777777" w:rsidR="00074E20" w:rsidRDefault="00074E20" w:rsidP="00074E2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D9ECD28" w14:textId="77777777" w:rsidR="00074E20" w:rsidRDefault="00074E20" w:rsidP="00074E2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7031338C" w14:textId="77777777" w:rsidR="00074E20" w:rsidRDefault="00074E20" w:rsidP="00074E2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A936EA8" w14:textId="77777777" w:rsidR="00074E20" w:rsidRDefault="00074E20" w:rsidP="00074E2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C7C0447" w14:textId="6F6BE606" w:rsidR="009C292D" w:rsidRPr="00074E20" w:rsidRDefault="009C292D" w:rsidP="00074E20">
      <w:pPr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9C292D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 xml:space="preserve">ODAKLE DOLAZI NOVAC </w:t>
      </w:r>
      <w:r w:rsidR="00913F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U </w:t>
      </w:r>
      <w:r w:rsidRPr="009C292D">
        <w:rPr>
          <w:rFonts w:ascii="Times New Roman" w:hAnsi="Times New Roman" w:cs="Times New Roman"/>
          <w:color w:val="4472C4" w:themeColor="accent1"/>
          <w:sz w:val="24"/>
          <w:szCs w:val="24"/>
        </w:rPr>
        <w:t>PRORAČUN?</w:t>
      </w:r>
    </w:p>
    <w:p w14:paraId="4CBD0078" w14:textId="77777777" w:rsidR="009C292D" w:rsidRPr="009C292D" w:rsidRDefault="009C292D" w:rsidP="009C292D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Prihodi od poreza:</w:t>
      </w:r>
    </w:p>
    <w:p w14:paraId="09C7CBEC" w14:textId="03021065" w:rsidR="009C292D" w:rsidRPr="009C292D" w:rsidRDefault="009C292D" w:rsidP="009C292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 xml:space="preserve">porez na dohodak </w:t>
      </w:r>
    </w:p>
    <w:p w14:paraId="50E6C56B" w14:textId="6ACC572B" w:rsidR="009C292D" w:rsidRPr="009C292D" w:rsidRDefault="009C292D" w:rsidP="009C292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porez na promet nekretnina</w:t>
      </w:r>
    </w:p>
    <w:p w14:paraId="40308BEA" w14:textId="2C7224CB" w:rsidR="009C292D" w:rsidRPr="009C292D" w:rsidRDefault="009C292D" w:rsidP="009C292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porez na potrošnju</w:t>
      </w:r>
    </w:p>
    <w:p w14:paraId="4B2B87EE" w14:textId="77777777" w:rsidR="009C292D" w:rsidRDefault="009C292D" w:rsidP="009C292D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Pomoći iz drugih proračuna:</w:t>
      </w:r>
    </w:p>
    <w:p w14:paraId="64880EC4" w14:textId="77777777" w:rsidR="009C292D" w:rsidRDefault="009C292D" w:rsidP="009C292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državnog, županijskog, općinskog i drugih subjekata opće države</w:t>
      </w:r>
    </w:p>
    <w:p w14:paraId="01D0DFA7" w14:textId="6308D2B3" w:rsidR="009C292D" w:rsidRPr="009C292D" w:rsidRDefault="009C292D" w:rsidP="009C292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EU fondova</w:t>
      </w:r>
    </w:p>
    <w:p w14:paraId="4520BC78" w14:textId="77777777" w:rsidR="009C292D" w:rsidRPr="009C292D" w:rsidRDefault="009C292D" w:rsidP="009C292D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Prihodi od imovine:</w:t>
      </w:r>
    </w:p>
    <w:p w14:paraId="13EB2748" w14:textId="15373A4E" w:rsidR="009C292D" w:rsidRPr="009C292D" w:rsidRDefault="009C292D" w:rsidP="009C292D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od kamata, od koncesija, zakupnina, i dr.</w:t>
      </w:r>
    </w:p>
    <w:p w14:paraId="3F4EBDE9" w14:textId="3B83B6DA" w:rsidR="009C292D" w:rsidRPr="009C292D" w:rsidRDefault="009C292D" w:rsidP="009C292D">
      <w:p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 xml:space="preserve">Prihodi od administrativnih pristojbi i </w:t>
      </w:r>
      <w:r w:rsidR="00913F0F">
        <w:rPr>
          <w:rFonts w:ascii="Times New Roman" w:hAnsi="Times New Roman" w:cs="Times New Roman"/>
          <w:sz w:val="24"/>
          <w:szCs w:val="24"/>
        </w:rPr>
        <w:t xml:space="preserve">prihodi </w:t>
      </w:r>
      <w:r w:rsidRPr="009C292D">
        <w:rPr>
          <w:rFonts w:ascii="Times New Roman" w:hAnsi="Times New Roman" w:cs="Times New Roman"/>
          <w:sz w:val="24"/>
          <w:szCs w:val="24"/>
        </w:rPr>
        <w:t>po posebnim propisima:</w:t>
      </w:r>
    </w:p>
    <w:p w14:paraId="4AD87BCB" w14:textId="0AADB28F" w:rsidR="009C292D" w:rsidRDefault="009C292D" w:rsidP="009C292D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sufinanciranja, komunalni doprinos, komunalna naknada, grobna naknada</w:t>
      </w:r>
    </w:p>
    <w:p w14:paraId="44A7C821" w14:textId="1CDABF4D" w:rsidR="00125638" w:rsidRDefault="00125638" w:rsidP="00125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99F1A" w14:textId="1DFF6D7D" w:rsidR="00125638" w:rsidRPr="00125638" w:rsidRDefault="00125638" w:rsidP="00125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B180C28" wp14:editId="283158B6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3F0D0B" w14:textId="63614A46" w:rsidR="00DC16CE" w:rsidRDefault="00410B3B" w:rsidP="00410B3B">
      <w:pPr>
        <w:tabs>
          <w:tab w:val="left" w:pos="3588"/>
        </w:tabs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10B3B">
        <w:rPr>
          <w:rFonts w:ascii="Times New Roman" w:hAnsi="Times New Roman" w:cs="Times New Roman"/>
          <w:i/>
          <w:iCs/>
          <w:sz w:val="18"/>
          <w:szCs w:val="18"/>
        </w:rPr>
        <w:t xml:space="preserve">Grafikon </w:t>
      </w:r>
      <w:r w:rsidR="00E167B5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Pr="00410B3B">
        <w:rPr>
          <w:rFonts w:ascii="Times New Roman" w:hAnsi="Times New Roman" w:cs="Times New Roman"/>
          <w:i/>
          <w:iCs/>
          <w:sz w:val="18"/>
          <w:szCs w:val="18"/>
        </w:rPr>
        <w:t>. Prihodi i primici proračuna 2023. i projekcije 2024. i 2025. godine</w:t>
      </w:r>
    </w:p>
    <w:p w14:paraId="7F335A07" w14:textId="7011B5FA" w:rsidR="00410B3B" w:rsidRDefault="00410B3B" w:rsidP="00410B3B">
      <w:pPr>
        <w:tabs>
          <w:tab w:val="left" w:pos="3588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727F2656" w14:textId="77777777" w:rsidR="00410B3B" w:rsidRPr="00410B3B" w:rsidRDefault="00410B3B" w:rsidP="00410B3B">
      <w:pPr>
        <w:tabs>
          <w:tab w:val="left" w:pos="3588"/>
        </w:tabs>
        <w:rPr>
          <w:rFonts w:ascii="Times New Roman" w:hAnsi="Times New Roman" w:cs="Times New Roman"/>
          <w:sz w:val="18"/>
          <w:szCs w:val="18"/>
        </w:rPr>
      </w:pPr>
    </w:p>
    <w:p w14:paraId="49C21D08" w14:textId="36E09273" w:rsidR="00410B3B" w:rsidRDefault="00410B3B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DC9769" w14:textId="25A96466" w:rsidR="00410B3B" w:rsidRDefault="00410B3B" w:rsidP="00410B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D5AF1" w14:textId="3860AE88" w:rsidR="00410B3B" w:rsidRDefault="00410B3B" w:rsidP="00410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70147A4F" wp14:editId="4D42F8F7">
            <wp:extent cx="5486400" cy="32004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6095D3" w14:textId="7CD6C2D6" w:rsidR="00145A40" w:rsidRPr="005504D7" w:rsidRDefault="005504D7" w:rsidP="005504D7">
      <w:pPr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504D7">
        <w:rPr>
          <w:rFonts w:ascii="Times New Roman" w:hAnsi="Times New Roman" w:cs="Times New Roman"/>
          <w:i/>
          <w:iCs/>
          <w:sz w:val="20"/>
          <w:szCs w:val="20"/>
        </w:rPr>
        <w:t xml:space="preserve">Grafikon </w:t>
      </w:r>
      <w:r w:rsidR="00E167B5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5504D7">
        <w:rPr>
          <w:rFonts w:ascii="Times New Roman" w:hAnsi="Times New Roman" w:cs="Times New Roman"/>
          <w:i/>
          <w:iCs/>
          <w:sz w:val="20"/>
          <w:szCs w:val="20"/>
        </w:rPr>
        <w:t>. Prihodi poslovanja 2023. godine</w:t>
      </w:r>
    </w:p>
    <w:p w14:paraId="66F810BD" w14:textId="1280AB7E" w:rsidR="00145A40" w:rsidRDefault="00145A40" w:rsidP="00120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AC1C5" w14:textId="4CB8AFC6" w:rsidR="00120FBE" w:rsidRDefault="00120FBE" w:rsidP="00120FBE">
      <w:pPr>
        <w:jc w:val="both"/>
        <w:rPr>
          <w:rFonts w:ascii="Times New Roman" w:hAnsi="Times New Roman" w:cs="Times New Roman"/>
          <w:sz w:val="24"/>
          <w:szCs w:val="24"/>
        </w:rPr>
      </w:pPr>
      <w:r w:rsidRPr="00120FB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Proračunski rashodi i izdaci </w:t>
      </w:r>
    </w:p>
    <w:p w14:paraId="643C2940" w14:textId="071187B3" w:rsidR="00120FBE" w:rsidRDefault="00120FBE" w:rsidP="0012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 izdaci Proračuna Općine </w:t>
      </w:r>
      <w:r w:rsidR="00913F0F">
        <w:rPr>
          <w:rFonts w:ascii="Times New Roman" w:hAnsi="Times New Roman" w:cs="Times New Roman"/>
          <w:sz w:val="24"/>
          <w:szCs w:val="24"/>
        </w:rPr>
        <w:t>Punitovci</w:t>
      </w:r>
      <w:r>
        <w:rPr>
          <w:rFonts w:ascii="Times New Roman" w:hAnsi="Times New Roman" w:cs="Times New Roman"/>
          <w:sz w:val="24"/>
          <w:szCs w:val="24"/>
        </w:rPr>
        <w:t xml:space="preserve"> za 2023. godine planirani su u iznosu od 1.580.200,00 eura, a čine ih rashodi poslovanja u iznosu od 1.080.600,00</w:t>
      </w:r>
      <w:r w:rsidR="00D00342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, rashodi za nabavu nefinancijske imovine 280.600,00</w:t>
      </w:r>
      <w:r w:rsidR="00D00342">
        <w:rPr>
          <w:rFonts w:ascii="Times New Roman" w:hAnsi="Times New Roman" w:cs="Times New Roman"/>
          <w:sz w:val="24"/>
          <w:szCs w:val="24"/>
        </w:rPr>
        <w:t>, te izdaci za financijsku imovinu 219.000,00 eura.</w:t>
      </w:r>
    </w:p>
    <w:p w14:paraId="1846F4D9" w14:textId="668AAACB" w:rsidR="00D00342" w:rsidRDefault="00D00342" w:rsidP="0012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C72687" wp14:editId="76D7D12C">
            <wp:extent cx="5486400" cy="32004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92F7EC" w14:textId="0E581B07" w:rsidR="00145A40" w:rsidRDefault="00D00342" w:rsidP="009968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Grafikon 4. Rashodi i izdaci proračuna 2023. – 2025. godina</w:t>
      </w:r>
    </w:p>
    <w:p w14:paraId="6F531B3F" w14:textId="77777777" w:rsidR="00A613E8" w:rsidRDefault="00A613E8" w:rsidP="009968D8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51181AE" w14:textId="36DC5001" w:rsidR="009968D8" w:rsidRDefault="009968D8" w:rsidP="009968D8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968D8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Kapitalne investicije Općine Punitovci za 2023. godinu</w:t>
      </w:r>
    </w:p>
    <w:p w14:paraId="3CF61872" w14:textId="77777777" w:rsidR="009968D8" w:rsidRPr="009968D8" w:rsidRDefault="009968D8" w:rsidP="009968D8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tbl>
      <w:tblPr>
        <w:tblStyle w:val="Tablicareetke4-isticanje5"/>
        <w:tblW w:w="0" w:type="auto"/>
        <w:tblLook w:val="04A0" w:firstRow="1" w:lastRow="0" w:firstColumn="1" w:lastColumn="0" w:noHBand="0" w:noVBand="1"/>
      </w:tblPr>
      <w:tblGrid>
        <w:gridCol w:w="5968"/>
        <w:gridCol w:w="2987"/>
      </w:tblGrid>
      <w:tr w:rsidR="009968D8" w14:paraId="574F71BE" w14:textId="77777777" w:rsidTr="00800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25103197" w14:textId="77777777" w:rsid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Kapitalne investicije u 2023. godini</w:t>
            </w:r>
          </w:p>
        </w:tc>
        <w:tc>
          <w:tcPr>
            <w:tcW w:w="2987" w:type="dxa"/>
          </w:tcPr>
          <w:p w14:paraId="794B42D2" w14:textId="77777777" w:rsidR="009968D8" w:rsidRDefault="009968D8" w:rsidP="00800D79">
            <w:pPr>
              <w:tabs>
                <w:tab w:val="left" w:pos="121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(EUR)</w:t>
            </w:r>
          </w:p>
        </w:tc>
      </w:tr>
      <w:tr w:rsidR="009968D8" w14:paraId="2F522FED" w14:textId="77777777" w:rsidTr="0080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1DCB5ED1" w14:textId="15740B6D" w:rsid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KANALIZACIJSKI SUSTAV</w:t>
            </w:r>
          </w:p>
        </w:tc>
        <w:tc>
          <w:tcPr>
            <w:tcW w:w="2987" w:type="dxa"/>
          </w:tcPr>
          <w:p w14:paraId="1E0134C5" w14:textId="4BFC4F99" w:rsidR="009968D8" w:rsidRDefault="009968D8" w:rsidP="00800D79">
            <w:pPr>
              <w:tabs>
                <w:tab w:val="left" w:pos="1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61.000,00</w:t>
            </w:r>
          </w:p>
        </w:tc>
      </w:tr>
      <w:tr w:rsidR="009968D8" w14:paraId="2CE693BC" w14:textId="77777777" w:rsidTr="00800D79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7722B1CD" w14:textId="5E6E28BB" w:rsidR="009968D8" w:rsidRP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ASFALTIRANJE PARKIRALIŠNIH MJESTA ISPRED DOMA U JOSIPOVCU I JURJEVCU</w:t>
            </w:r>
          </w:p>
        </w:tc>
        <w:tc>
          <w:tcPr>
            <w:tcW w:w="2987" w:type="dxa"/>
          </w:tcPr>
          <w:p w14:paraId="090C0348" w14:textId="03FC20BB" w:rsidR="009968D8" w:rsidRDefault="009968D8" w:rsidP="00800D79">
            <w:pPr>
              <w:tabs>
                <w:tab w:val="left" w:pos="12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53.100,00</w:t>
            </w:r>
          </w:p>
        </w:tc>
      </w:tr>
      <w:tr w:rsidR="009968D8" w14:paraId="1CA857FD" w14:textId="77777777" w:rsidTr="0080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7F056013" w14:textId="4BF0282F" w:rsid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SPORTSKI CENTAR BARA</w:t>
            </w:r>
          </w:p>
        </w:tc>
        <w:tc>
          <w:tcPr>
            <w:tcW w:w="2987" w:type="dxa"/>
          </w:tcPr>
          <w:p w14:paraId="0C43B5F6" w14:textId="772C2A85" w:rsidR="009968D8" w:rsidRDefault="009968D8" w:rsidP="00800D79">
            <w:pPr>
              <w:tabs>
                <w:tab w:val="left" w:pos="1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26.500,00</w:t>
            </w:r>
          </w:p>
        </w:tc>
      </w:tr>
      <w:tr w:rsidR="009968D8" w14:paraId="08E14573" w14:textId="77777777" w:rsidTr="00800D79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0144528A" w14:textId="5058D502" w:rsid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ASFALTIRANJE LOKALNIH CESTA JURJEVAC</w:t>
            </w:r>
          </w:p>
        </w:tc>
        <w:tc>
          <w:tcPr>
            <w:tcW w:w="2987" w:type="dxa"/>
          </w:tcPr>
          <w:p w14:paraId="351F3281" w14:textId="70B0A0BC" w:rsidR="009968D8" w:rsidRDefault="009968D8" w:rsidP="00800D79">
            <w:pPr>
              <w:tabs>
                <w:tab w:val="left" w:pos="12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26.500,00</w:t>
            </w:r>
          </w:p>
        </w:tc>
      </w:tr>
      <w:tr w:rsidR="009968D8" w14:paraId="6BD8912F" w14:textId="77777777" w:rsidTr="0080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45320FCD" w14:textId="18B122F2" w:rsid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DRUŠTVENI DOM U JOSIPOVCU</w:t>
            </w:r>
          </w:p>
        </w:tc>
        <w:tc>
          <w:tcPr>
            <w:tcW w:w="2987" w:type="dxa"/>
          </w:tcPr>
          <w:p w14:paraId="2C950474" w14:textId="60DA0809" w:rsidR="009968D8" w:rsidRDefault="009968D8" w:rsidP="00800D79">
            <w:pPr>
              <w:tabs>
                <w:tab w:val="left" w:pos="1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26.500,00</w:t>
            </w:r>
          </w:p>
        </w:tc>
      </w:tr>
      <w:tr w:rsidR="009968D8" w14:paraId="3F43E01D" w14:textId="77777777" w:rsidTr="00800D79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6E469702" w14:textId="7C137AA4" w:rsid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DRUŠTVENI DOM U JURJEVCU</w:t>
            </w:r>
          </w:p>
        </w:tc>
        <w:tc>
          <w:tcPr>
            <w:tcW w:w="2987" w:type="dxa"/>
          </w:tcPr>
          <w:p w14:paraId="251C06F6" w14:textId="11452E75" w:rsidR="009968D8" w:rsidRDefault="009968D8" w:rsidP="00800D79">
            <w:pPr>
              <w:tabs>
                <w:tab w:val="left" w:pos="12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13.300,00</w:t>
            </w:r>
          </w:p>
        </w:tc>
      </w:tr>
      <w:tr w:rsidR="009968D8" w14:paraId="23FBCFD9" w14:textId="77777777" w:rsidTr="00800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29F97CB9" w14:textId="4DDCAA5E" w:rsidR="009968D8" w:rsidRDefault="009968D8" w:rsidP="00800D79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IZGRADNJA VODOOPSKRBNOG SUSTAVA ULICA JOSIPA RADNIKA</w:t>
            </w:r>
          </w:p>
        </w:tc>
        <w:tc>
          <w:tcPr>
            <w:tcW w:w="2987" w:type="dxa"/>
          </w:tcPr>
          <w:p w14:paraId="633283EC" w14:textId="2D54B1AC" w:rsidR="009968D8" w:rsidRDefault="009968D8" w:rsidP="00800D79">
            <w:pPr>
              <w:tabs>
                <w:tab w:val="left" w:pos="1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13.300,00</w:t>
            </w:r>
          </w:p>
        </w:tc>
      </w:tr>
      <w:tr w:rsidR="009968D8" w14:paraId="22B56FEC" w14:textId="77777777" w:rsidTr="00800D79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</w:tcPr>
          <w:p w14:paraId="0E618CE1" w14:textId="57DD559C" w:rsidR="009968D8" w:rsidRDefault="009968D8" w:rsidP="009968D8">
            <w:pPr>
              <w:tabs>
                <w:tab w:val="left" w:pos="1217"/>
                <w:tab w:val="center" w:pos="2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IZGRADNJA MREŽE JAVNE RASVJETE</w:t>
            </w:r>
          </w:p>
        </w:tc>
        <w:tc>
          <w:tcPr>
            <w:tcW w:w="2987" w:type="dxa"/>
          </w:tcPr>
          <w:p w14:paraId="4F664D6F" w14:textId="4C501A22" w:rsidR="009968D8" w:rsidRDefault="009968D8" w:rsidP="00800D79">
            <w:pPr>
              <w:tabs>
                <w:tab w:val="left" w:pos="12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9.300,00</w:t>
            </w:r>
          </w:p>
        </w:tc>
      </w:tr>
    </w:tbl>
    <w:p w14:paraId="62E923D3" w14:textId="4D9A3B9C" w:rsidR="009968D8" w:rsidRPr="009968D8" w:rsidRDefault="009968D8" w:rsidP="009968D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968D8">
        <w:rPr>
          <w:rFonts w:ascii="Times New Roman" w:hAnsi="Times New Roman" w:cs="Times New Roman"/>
          <w:i/>
          <w:iCs/>
          <w:sz w:val="20"/>
          <w:szCs w:val="20"/>
        </w:rPr>
        <w:t xml:space="preserve">Tablica 1. Ključni projekti Općine </w:t>
      </w:r>
      <w:r w:rsidR="00913F0F">
        <w:rPr>
          <w:rFonts w:ascii="Times New Roman" w:hAnsi="Times New Roman" w:cs="Times New Roman"/>
          <w:i/>
          <w:iCs/>
          <w:sz w:val="20"/>
          <w:szCs w:val="20"/>
        </w:rPr>
        <w:t xml:space="preserve">Punitovci </w:t>
      </w:r>
      <w:r w:rsidRPr="009968D8">
        <w:rPr>
          <w:rFonts w:ascii="Times New Roman" w:hAnsi="Times New Roman" w:cs="Times New Roman"/>
          <w:i/>
          <w:iCs/>
          <w:sz w:val="20"/>
          <w:szCs w:val="20"/>
        </w:rPr>
        <w:t>u 2023. godini</w:t>
      </w:r>
    </w:p>
    <w:p w14:paraId="53A8C86F" w14:textId="0D1E3387" w:rsidR="00145A40" w:rsidRDefault="00145A40" w:rsidP="0014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B766B" w14:textId="7EEABF6F" w:rsidR="00145A40" w:rsidRDefault="00145A40" w:rsidP="00996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EF9FE" w14:textId="48149E56" w:rsidR="009968D8" w:rsidRDefault="0099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0B29AC" w14:textId="51659D00" w:rsidR="00145A40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Kontakti i korisne informacije</w:t>
      </w:r>
    </w:p>
    <w:p w14:paraId="4244EC21" w14:textId="692393BD" w:rsidR="009968D8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7AD21" w14:textId="1C82E99E" w:rsidR="009968D8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</w:t>
      </w:r>
    </w:p>
    <w:p w14:paraId="65490400" w14:textId="56A7D07E" w:rsidR="009968D8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Stjepana Radića 58</w:t>
      </w:r>
    </w:p>
    <w:p w14:paraId="7EF65A4B" w14:textId="6DE297A9" w:rsidR="009968D8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31424 Punitovci</w:t>
      </w:r>
    </w:p>
    <w:p w14:paraId="28E127C8" w14:textId="29DF67FA" w:rsidR="009968D8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tel.:031/861-309</w:t>
      </w:r>
    </w:p>
    <w:p w14:paraId="7AA4A0C2" w14:textId="54E492D8" w:rsidR="009968D8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2544A3">
          <w:rPr>
            <w:rStyle w:val="Hiperveza"/>
            <w:rFonts w:ascii="Times New Roman" w:hAnsi="Times New Roman" w:cs="Times New Roman"/>
            <w:sz w:val="24"/>
            <w:szCs w:val="24"/>
          </w:rPr>
          <w:t>opcina@punitovci.hr</w:t>
        </w:r>
      </w:hyperlink>
    </w:p>
    <w:p w14:paraId="27D33F09" w14:textId="45EBB03E" w:rsidR="009968D8" w:rsidRDefault="009968D8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6" w:history="1">
        <w:r w:rsidR="00D61010" w:rsidRPr="002544A3">
          <w:rPr>
            <w:rStyle w:val="Hiperveza"/>
            <w:rFonts w:ascii="Times New Roman" w:hAnsi="Times New Roman" w:cs="Times New Roman"/>
            <w:sz w:val="24"/>
            <w:szCs w:val="24"/>
          </w:rPr>
          <w:t>https://www.punitovci.hr/</w:t>
        </w:r>
      </w:hyperlink>
    </w:p>
    <w:p w14:paraId="7DD523B8" w14:textId="74C84AF1" w:rsidR="00D61010" w:rsidRDefault="00D61010" w:rsidP="00996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FFE8E" w14:textId="2A893367" w:rsidR="00D61010" w:rsidRDefault="00D61010" w:rsidP="00996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85BC79" wp14:editId="462DDB36">
            <wp:extent cx="5760720" cy="1815465"/>
            <wp:effectExtent l="0" t="0" r="0" b="0"/>
            <wp:docPr id="7" name="Slika 7" descr="Slika na kojoj se prikazuje tekst, tr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trava&#10;&#10;Opis je automatski generira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55531" w14:textId="1BD8145D" w:rsidR="00D61010" w:rsidRDefault="00D61010" w:rsidP="00996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1F51F" w14:textId="77777777" w:rsidR="00D61010" w:rsidRPr="00102C82" w:rsidRDefault="00D61010" w:rsidP="009968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1010" w:rsidRPr="0010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24303" w14:textId="77777777" w:rsidR="00686F17" w:rsidRDefault="00686F17" w:rsidP="009968D8">
      <w:pPr>
        <w:spacing w:after="0" w:line="240" w:lineRule="auto"/>
      </w:pPr>
      <w:r>
        <w:separator/>
      </w:r>
    </w:p>
  </w:endnote>
  <w:endnote w:type="continuationSeparator" w:id="0">
    <w:p w14:paraId="63BC59EE" w14:textId="77777777" w:rsidR="00686F17" w:rsidRDefault="00686F17" w:rsidP="0099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D494" w14:textId="77777777" w:rsidR="00686F17" w:rsidRDefault="00686F17" w:rsidP="009968D8">
      <w:pPr>
        <w:spacing w:after="0" w:line="240" w:lineRule="auto"/>
      </w:pPr>
      <w:r>
        <w:separator/>
      </w:r>
    </w:p>
  </w:footnote>
  <w:footnote w:type="continuationSeparator" w:id="0">
    <w:p w14:paraId="373E3A93" w14:textId="77777777" w:rsidR="00686F17" w:rsidRDefault="00686F17" w:rsidP="0099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6F0"/>
    <w:multiLevelType w:val="hybridMultilevel"/>
    <w:tmpl w:val="A0741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21599"/>
    <w:multiLevelType w:val="hybridMultilevel"/>
    <w:tmpl w:val="95A43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14E2A"/>
    <w:multiLevelType w:val="hybridMultilevel"/>
    <w:tmpl w:val="B3DA4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E40FC"/>
    <w:multiLevelType w:val="hybridMultilevel"/>
    <w:tmpl w:val="70026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1B69"/>
    <w:multiLevelType w:val="hybridMultilevel"/>
    <w:tmpl w:val="CDEC8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D6B99"/>
    <w:multiLevelType w:val="hybridMultilevel"/>
    <w:tmpl w:val="97401A8A"/>
    <w:lvl w:ilvl="0" w:tplc="86FC09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52A21"/>
    <w:multiLevelType w:val="hybridMultilevel"/>
    <w:tmpl w:val="FCA4E0C4"/>
    <w:lvl w:ilvl="0" w:tplc="041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635623A6"/>
    <w:multiLevelType w:val="hybridMultilevel"/>
    <w:tmpl w:val="E6945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07B6E"/>
    <w:multiLevelType w:val="hybridMultilevel"/>
    <w:tmpl w:val="183C0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079CC"/>
    <w:multiLevelType w:val="hybridMultilevel"/>
    <w:tmpl w:val="BEEE6BD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82"/>
    <w:rsid w:val="00074E20"/>
    <w:rsid w:val="000E455D"/>
    <w:rsid w:val="00102C82"/>
    <w:rsid w:val="00120FBE"/>
    <w:rsid w:val="00125638"/>
    <w:rsid w:val="00145A40"/>
    <w:rsid w:val="001B26CF"/>
    <w:rsid w:val="002457A3"/>
    <w:rsid w:val="0036459F"/>
    <w:rsid w:val="00410B3B"/>
    <w:rsid w:val="005504D7"/>
    <w:rsid w:val="00686F17"/>
    <w:rsid w:val="006D0C36"/>
    <w:rsid w:val="00827D31"/>
    <w:rsid w:val="00913F0F"/>
    <w:rsid w:val="009945B9"/>
    <w:rsid w:val="009968D8"/>
    <w:rsid w:val="009C292D"/>
    <w:rsid w:val="00A613E8"/>
    <w:rsid w:val="00D00342"/>
    <w:rsid w:val="00D61010"/>
    <w:rsid w:val="00DC16CE"/>
    <w:rsid w:val="00E167B5"/>
    <w:rsid w:val="00E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7821"/>
  <w15:chartTrackingRefBased/>
  <w15:docId w15:val="{B3E0B4FD-9B0D-47E1-916C-8C0CE34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2C8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292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68D8"/>
  </w:style>
  <w:style w:type="paragraph" w:styleId="Podnoje">
    <w:name w:val="footer"/>
    <w:basedOn w:val="Normal"/>
    <w:link w:val="PodnojeChar"/>
    <w:uiPriority w:val="99"/>
    <w:unhideWhenUsed/>
    <w:rsid w:val="0099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68D8"/>
  </w:style>
  <w:style w:type="table" w:styleId="Tablicareetke4-isticanje5">
    <w:name w:val="Grid Table 4 Accent 5"/>
    <w:basedOn w:val="Obinatablica"/>
    <w:uiPriority w:val="49"/>
    <w:rsid w:val="009968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9968D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s://www.punitovci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mailto:opcina@punitovci.h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prihodi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3"/>
                <c:pt idx="0">
                  <c:v>Plan proračuna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1580200</c:v>
                </c:pt>
                <c:pt idx="1">
                  <c:v>1660000</c:v>
                </c:pt>
                <c:pt idx="2">
                  <c:v>1743000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D5-4462-991D-3835ABA756F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Ukupni rashodi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3"/>
                <c:pt idx="0">
                  <c:v>Plan proračuna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1580200</c:v>
                </c:pt>
                <c:pt idx="1">
                  <c:v>1660000</c:v>
                </c:pt>
                <c:pt idx="2">
                  <c:v>1743000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D5-4462-991D-3835ABA75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403976"/>
        <c:axId val="353405152"/>
      </c:barChart>
      <c:catAx>
        <c:axId val="353403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3405152"/>
        <c:crosses val="autoZero"/>
        <c:auto val="1"/>
        <c:lblAlgn val="ctr"/>
        <c:lblOffset val="100"/>
        <c:noMultiLvlLbl val="0"/>
      </c:catAx>
      <c:valAx>
        <c:axId val="35340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3403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3"/>
                <c:pt idx="0">
                  <c:v>Proračun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1351200</c:v>
                </c:pt>
                <c:pt idx="1">
                  <c:v>1419600</c:v>
                </c:pt>
                <c:pt idx="2">
                  <c:v>1419600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FB-43EC-87E9-7DD75F8A0D3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prodaje nefinancijske imovine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3"/>
                <c:pt idx="0">
                  <c:v>Proračun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List1!$C$2:$C$5</c:f>
              <c:numCache>
                <c:formatCode>#,##0.00</c:formatCode>
                <c:ptCount val="4"/>
                <c:pt idx="0" formatCode="#,##0">
                  <c:v>209100</c:v>
                </c:pt>
                <c:pt idx="1">
                  <c:v>219500</c:v>
                </c:pt>
                <c:pt idx="2">
                  <c:v>230400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FB-43EC-87E9-7DD75F8A0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406328"/>
        <c:axId val="353406720"/>
      </c:barChart>
      <c:catAx>
        <c:axId val="353406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3406720"/>
        <c:crosses val="autoZero"/>
        <c:auto val="1"/>
        <c:lblAlgn val="ctr"/>
        <c:lblOffset val="100"/>
        <c:noMultiLvlLbl val="0"/>
      </c:catAx>
      <c:valAx>
        <c:axId val="35340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3406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47-4396-84E6-3EC608D5F1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47-4396-84E6-3EC608D5F1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547-4396-84E6-3EC608D5F1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547-4396-84E6-3EC608D5F1AB}"/>
              </c:ext>
            </c:extLst>
          </c:dPt>
          <c:cat>
            <c:strRef>
              <c:f>List1!$A$2:$A$5</c:f>
              <c:strCache>
                <c:ptCount val="4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1351200</c:v>
                </c:pt>
                <c:pt idx="1">
                  <c:v>805300</c:v>
                </c:pt>
                <c:pt idx="2">
                  <c:v>101200</c:v>
                </c:pt>
                <c:pt idx="3">
                  <c:v>82200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A2-4194-93AD-2A607AED7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3"/>
                <c:pt idx="0">
                  <c:v>Plan proračuna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1080600</c:v>
                </c:pt>
                <c:pt idx="1">
                  <c:v>1135200</c:v>
                </c:pt>
                <c:pt idx="2">
                  <c:v>1192000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90-4EEE-8A73-6559F83C47C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3"/>
                <c:pt idx="0">
                  <c:v>Plan proračuna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280600</c:v>
                </c:pt>
                <c:pt idx="1">
                  <c:v>294900</c:v>
                </c:pt>
                <c:pt idx="2">
                  <c:v>309500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90-4EEE-8A73-6559F83C47C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3"/>
                <c:pt idx="0">
                  <c:v>Plan proračuna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219000</c:v>
                </c:pt>
                <c:pt idx="1">
                  <c:v>229900</c:v>
                </c:pt>
                <c:pt idx="2">
                  <c:v>241500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90-4EEE-8A73-6559F83C47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7681840"/>
        <c:axId val="357682232"/>
        <c:axId val="256583848"/>
      </c:bar3DChart>
      <c:catAx>
        <c:axId val="35768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7682232"/>
        <c:crosses val="autoZero"/>
        <c:auto val="1"/>
        <c:lblAlgn val="ctr"/>
        <c:lblOffset val="100"/>
        <c:noMultiLvlLbl val="0"/>
      </c:catAx>
      <c:valAx>
        <c:axId val="35768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7681840"/>
        <c:crosses val="autoZero"/>
        <c:crossBetween val="between"/>
      </c:valAx>
      <c:serAx>
        <c:axId val="2565838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76822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1830-8B2D-4FC3-B45B-04380A73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6472</dc:creator>
  <cp:keywords/>
  <dc:description/>
  <cp:lastModifiedBy>Korisnik</cp:lastModifiedBy>
  <cp:revision>10</cp:revision>
  <dcterms:created xsi:type="dcterms:W3CDTF">2023-01-08T17:44:00Z</dcterms:created>
  <dcterms:modified xsi:type="dcterms:W3CDTF">2023-01-16T13:34:00Z</dcterms:modified>
</cp:coreProperties>
</file>