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1C" w:rsidRDefault="002D3D1C" w:rsidP="002026C3">
      <w:pPr>
        <w:suppressAutoHyphens/>
        <w:ind w:right="5292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REPUBLIKA HRVATSKA</w:t>
      </w:r>
    </w:p>
    <w:p w:rsidR="002D3D1C" w:rsidRDefault="002D3D1C" w:rsidP="002D3D1C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OSJEČKO-BARANJSKA ŽUPANIJA</w:t>
      </w:r>
    </w:p>
    <w:p w:rsidR="002D3D1C" w:rsidRDefault="00A936E8" w:rsidP="002D3D1C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OPĆINA PUNITOVCI</w:t>
      </w:r>
    </w:p>
    <w:p w:rsidR="00D3719D" w:rsidRDefault="00D3719D" w:rsidP="002D3D1C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proofErr w:type="spellStart"/>
      <w:r>
        <w:rPr>
          <w:b/>
          <w:bCs/>
          <w:lang w:val="de-DE" w:eastAsia="ar-SA"/>
        </w:rPr>
        <w:t>Povjerenstvo</w:t>
      </w:r>
      <w:proofErr w:type="spellEnd"/>
      <w:r>
        <w:rPr>
          <w:b/>
          <w:bCs/>
          <w:lang w:val="de-DE" w:eastAsia="ar-SA"/>
        </w:rPr>
        <w:t xml:space="preserve"> </w:t>
      </w:r>
      <w:proofErr w:type="spellStart"/>
      <w:r>
        <w:rPr>
          <w:b/>
          <w:bCs/>
          <w:lang w:val="de-DE" w:eastAsia="ar-SA"/>
        </w:rPr>
        <w:t>za</w:t>
      </w:r>
      <w:proofErr w:type="spellEnd"/>
      <w:r>
        <w:rPr>
          <w:b/>
          <w:bCs/>
          <w:lang w:val="de-DE" w:eastAsia="ar-SA"/>
        </w:rPr>
        <w:t xml:space="preserve"> </w:t>
      </w:r>
      <w:proofErr w:type="spellStart"/>
      <w:r>
        <w:rPr>
          <w:b/>
          <w:bCs/>
          <w:lang w:val="de-DE" w:eastAsia="ar-SA"/>
        </w:rPr>
        <w:t>provedbu</w:t>
      </w:r>
      <w:proofErr w:type="spellEnd"/>
      <w:r>
        <w:rPr>
          <w:b/>
          <w:bCs/>
          <w:lang w:val="de-DE" w:eastAsia="ar-SA"/>
        </w:rPr>
        <w:t xml:space="preserve"> </w:t>
      </w:r>
      <w:proofErr w:type="spellStart"/>
      <w:r>
        <w:rPr>
          <w:b/>
          <w:bCs/>
          <w:lang w:val="de-DE" w:eastAsia="ar-SA"/>
        </w:rPr>
        <w:t>oglasa</w:t>
      </w:r>
      <w:proofErr w:type="spellEnd"/>
    </w:p>
    <w:p w:rsidR="002D3D1C" w:rsidRDefault="002D3D1C" w:rsidP="002D3D1C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</w:p>
    <w:p w:rsidR="002D3D1C" w:rsidRPr="00EC4176" w:rsidRDefault="002D3D1C" w:rsidP="002D3D1C">
      <w:r w:rsidRPr="00EC4176">
        <w:rPr>
          <w:b/>
        </w:rPr>
        <w:t>KLASA</w:t>
      </w:r>
      <w:r w:rsidRPr="00EC4176">
        <w:t>:</w:t>
      </w:r>
      <w:bookmarkStart w:id="0" w:name="Klasa"/>
      <w:bookmarkEnd w:id="0"/>
      <w:r w:rsidR="00282FC9" w:rsidRPr="00EC4176">
        <w:t xml:space="preserve"> </w:t>
      </w:r>
      <w:r w:rsidR="00EC4176" w:rsidRPr="00EC4176">
        <w:t>112-03/23-01/2</w:t>
      </w:r>
    </w:p>
    <w:p w:rsidR="002D3D1C" w:rsidRPr="00EC4176" w:rsidRDefault="002D3D1C" w:rsidP="002D3D1C">
      <w:r w:rsidRPr="00EC4176">
        <w:rPr>
          <w:b/>
        </w:rPr>
        <w:t>URBROJ</w:t>
      </w:r>
      <w:r w:rsidRPr="00EC4176">
        <w:t>:</w:t>
      </w:r>
      <w:bookmarkStart w:id="1" w:name="Urbroj"/>
      <w:bookmarkEnd w:id="1"/>
      <w:r w:rsidR="00282FC9" w:rsidRPr="00EC4176">
        <w:t xml:space="preserve"> </w:t>
      </w:r>
      <w:r w:rsidR="002468AC">
        <w:t>2158-33-06</w:t>
      </w:r>
      <w:bookmarkStart w:id="2" w:name="_GoBack"/>
      <w:bookmarkEnd w:id="2"/>
      <w:r w:rsidR="00EC4176" w:rsidRPr="00EC4176">
        <w:t>-23-2</w:t>
      </w:r>
    </w:p>
    <w:p w:rsidR="002D3D1C" w:rsidRDefault="00A936E8" w:rsidP="002D3D1C">
      <w:proofErr w:type="spellStart"/>
      <w:r>
        <w:t>Punitovci</w:t>
      </w:r>
      <w:proofErr w:type="spellEnd"/>
      <w:r w:rsidR="00303C2C">
        <w:t xml:space="preserve">, </w:t>
      </w:r>
      <w:r w:rsidR="00CA3923">
        <w:t>23. siječnja 2023</w:t>
      </w:r>
      <w:r w:rsidR="00F776ED">
        <w:t>. godine</w:t>
      </w:r>
    </w:p>
    <w:p w:rsidR="002D3D1C" w:rsidRDefault="002D3D1C" w:rsidP="002D3D1C"/>
    <w:p w:rsidR="002D3D1C" w:rsidRDefault="002D3D1C" w:rsidP="002D3D1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I UPUTE KANDIDATIMA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F776ED">
      <w:pPr>
        <w:contextualSpacing/>
        <w:jc w:val="both"/>
      </w:pPr>
      <w:r>
        <w:t>Na stranicama Hrvatskog zavoda za zapošljavanje i službe</w:t>
      </w:r>
      <w:r w:rsidR="00A936E8">
        <w:t xml:space="preserve">noj web stranici Općine </w:t>
      </w:r>
      <w:proofErr w:type="spellStart"/>
      <w:r w:rsidR="00A936E8">
        <w:t>Punitovci</w:t>
      </w:r>
      <w:proofErr w:type="spellEnd"/>
      <w:r>
        <w:t>, objavljen je oglas za prijam u službu na određeno vrijeme</w:t>
      </w:r>
      <w:r w:rsidR="00A936E8">
        <w:t>,puno radno vrijeme, radi zamjene duže odsutnog službenika, uz obvezni probni rad u trajanju dva mjeseca</w:t>
      </w:r>
      <w:r w:rsidR="00F776ED">
        <w:t>, na radno mjesto</w:t>
      </w:r>
      <w:r w:rsidR="00A936E8">
        <w:t xml:space="preserve"> – PROČELNIK/CA JEDINSTVENOG UPRAVNOG ODJELA</w:t>
      </w:r>
      <w:r w:rsidR="00803D72">
        <w:t xml:space="preserve">, </w:t>
      </w:r>
      <w:r>
        <w:t>1 izvršitelj/</w:t>
      </w:r>
      <w:proofErr w:type="spellStart"/>
      <w:r>
        <w:t>ica</w:t>
      </w:r>
      <w:proofErr w:type="spellEnd"/>
      <w:r>
        <w:t xml:space="preserve">, te se daju upute kako slijedi: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Pr="00EC4176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</w:t>
      </w:r>
      <w:r w:rsidR="00CA3923">
        <w:rPr>
          <w:rFonts w:ascii="Times New Roman" w:hAnsi="Times New Roman"/>
          <w:sz w:val="24"/>
          <w:szCs w:val="24"/>
        </w:rPr>
        <w:t xml:space="preserve">oglas podnose se </w:t>
      </w:r>
      <w:r w:rsidR="00CA3923" w:rsidRPr="00EC4176">
        <w:rPr>
          <w:rFonts w:ascii="Times New Roman" w:hAnsi="Times New Roman"/>
          <w:sz w:val="24"/>
          <w:szCs w:val="24"/>
        </w:rPr>
        <w:t>zaključno sa 31. siječnja 2023</w:t>
      </w:r>
      <w:r w:rsidRPr="00EC4176">
        <w:rPr>
          <w:rFonts w:ascii="Times New Roman" w:hAnsi="Times New Roman"/>
          <w:sz w:val="24"/>
          <w:szCs w:val="24"/>
        </w:rPr>
        <w:t xml:space="preserve">. </w:t>
      </w:r>
      <w:r w:rsidR="00EC4176" w:rsidRPr="00EC4176">
        <w:rPr>
          <w:rFonts w:ascii="Times New Roman" w:hAnsi="Times New Roman"/>
          <w:sz w:val="24"/>
          <w:szCs w:val="24"/>
        </w:rPr>
        <w:t>g</w:t>
      </w:r>
      <w:r w:rsidRPr="00EC4176">
        <w:rPr>
          <w:rFonts w:ascii="Times New Roman" w:hAnsi="Times New Roman"/>
          <w:sz w:val="24"/>
          <w:szCs w:val="24"/>
        </w:rPr>
        <w:t>odine</w:t>
      </w:r>
      <w:r w:rsidR="00271556" w:rsidRPr="00EC4176">
        <w:rPr>
          <w:rFonts w:ascii="Times New Roman" w:hAnsi="Times New Roman"/>
          <w:b/>
          <w:sz w:val="24"/>
          <w:szCs w:val="24"/>
        </w:rPr>
        <w:t>.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:rsidR="002D3D1C" w:rsidRPr="002606EA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606EA">
        <w:rPr>
          <w:rFonts w:ascii="Times New Roman" w:hAnsi="Times New Roman"/>
          <w:b/>
          <w:sz w:val="24"/>
          <w:szCs w:val="24"/>
        </w:rPr>
        <w:t xml:space="preserve">Opis poslova radnog mjesta –  </w:t>
      </w:r>
      <w:r w:rsidR="002606EA">
        <w:rPr>
          <w:rFonts w:ascii="Times New Roman" w:hAnsi="Times New Roman"/>
          <w:b/>
          <w:sz w:val="24"/>
          <w:szCs w:val="24"/>
        </w:rPr>
        <w:t>Pročelnik Jedinstvenog upravnog odjela</w:t>
      </w:r>
    </w:p>
    <w:p w:rsidR="002606EA" w:rsidRPr="002606EA" w:rsidRDefault="002606EA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Rukovodi Jedinstvenim upravnim odjelom u skladu sa zakonom i drugim propisima</w:t>
      </w:r>
    </w:p>
    <w:p w:rsidR="002606EA" w:rsidRPr="002606EA" w:rsidRDefault="002606EA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Organizira, brine o izvršavanju i nadzire obavljanje poslova, daje upute za rad zaposlenima i koordinira rad Jedinstvenog upravnog odjela</w:t>
      </w:r>
    </w:p>
    <w:p w:rsidR="002606EA" w:rsidRPr="00102DE7" w:rsidRDefault="002606EA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u svezi pripremanja sjednica Općinskog vijeća; sudjeluje u radu sjednica, priprema nacrte odluka i drugih općih akata Općinskog vijeća i Općinskog načelnika</w:t>
      </w:r>
    </w:p>
    <w:p w:rsidR="00102DE7" w:rsidRPr="00102DE7" w:rsidRDefault="00102DE7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izvršenje odluka Općinskog vijeća i Općinskog načelnika</w:t>
      </w:r>
    </w:p>
    <w:p w:rsidR="00C00EC3" w:rsidRPr="00102DE7" w:rsidRDefault="00102DE7" w:rsidP="00102DE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rješenja u upravnim postupcima iz djelokruga Jedinstvenog upravnog odjela</w:t>
      </w:r>
    </w:p>
    <w:p w:rsidR="00C00EC3" w:rsidRPr="00A066E7" w:rsidRDefault="00C00EC3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neposredan nadzor nad radom u Jedinstvenom upravno odjelu i prati propise iz nadležnosti Jedinstvenog upravnog odjela</w:t>
      </w:r>
    </w:p>
    <w:p w:rsidR="00A066E7" w:rsidRPr="00A066E7" w:rsidRDefault="00A066E7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Poduzima mjere za osiguranje učinkovitosti u radu, brine o stručnom osposobljavanju i usavršavanju djelatnika i urednom i pravilnom  korištenju imovine i sredstava za rad</w:t>
      </w:r>
    </w:p>
    <w:p w:rsidR="00A066E7" w:rsidRPr="00A066E7" w:rsidRDefault="00A066E7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postupke donošenja prostorno planske dokumentacije (PPUO; DPU;UPU)</w:t>
      </w:r>
    </w:p>
    <w:p w:rsidR="00A066E7" w:rsidRPr="00A066E7" w:rsidRDefault="00A066E7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Izrađuje troškovnike za manje zahtjevne zahvate, provodi postupke dobivanja lokacijske dozvole i potvrde glavnog projekta; evidencija i nadzor nad provođenjem manjih građevinskih zahvata, prisustvovanje tehničkim pregledima</w:t>
      </w:r>
    </w:p>
    <w:p w:rsidR="00A066E7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mjere zaštite okoliša i prirodnih potencijala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ovrhu i naplatu općinskih prihoda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stručne pomoći i izrade prijedloga akata za mjesne odbore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Upravlja i vodi postupke javne nabave, vodi pripadajuće evidencije i sastavlja potrebna izvješća, sastavlja ugovore, izrađuje Plan nabave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programe i podnosi zahtjeve za dodjelom sredstava iz ministarstava Republike Hrvatske i drugih fondova uključujući i fondove EU, sa izvješćima i obrazloženjima o utrošenim sredstvima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vezane uz realizaciju Programa raspolaganja poljoprivrednim zemljištem u vlasništvu države (evidencije plaćanja, odluke, zapisnici, natječaji za prodaju i zakup)</w:t>
      </w:r>
    </w:p>
    <w:p w:rsidR="00687E4E" w:rsidRPr="00687E4E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Poduzima mjere za utvrđivanje odgovornosti za povrede službene dužnosti</w:t>
      </w:r>
    </w:p>
    <w:p w:rsidR="00687E4E" w:rsidRPr="0079642D" w:rsidRDefault="00687E4E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Izvršava poslove vezano uz društvene djelatnosti</w:t>
      </w:r>
    </w:p>
    <w:p w:rsidR="0079642D" w:rsidRPr="0079642D" w:rsidRDefault="0079642D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Surađuje i osigurava suradnju jedinstvenog upravnog odjela s tijelima državne uprave, tijelima lokalne i regionalne (područne) samouprave i drugim institucijama</w:t>
      </w:r>
    </w:p>
    <w:p w:rsidR="0079642D" w:rsidRPr="002606EA" w:rsidRDefault="0079642D" w:rsidP="002606E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i ostale poslove po nalogu Općinskog načelnika proizašle iz odluka Općinskog vijeća i Općinskog načelnika </w:t>
      </w:r>
    </w:p>
    <w:p w:rsidR="00303C2C" w:rsidRDefault="00303C2C" w:rsidP="002D3D1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Podaci o plaći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</w:t>
      </w:r>
      <w:r w:rsidR="00AA28C3">
        <w:rPr>
          <w:rFonts w:ascii="Times New Roman" w:hAnsi="Times New Roman"/>
          <w:sz w:val="24"/>
          <w:szCs w:val="24"/>
        </w:rPr>
        <w:t xml:space="preserve"> koeficijentima za obračun plaća</w:t>
      </w:r>
      <w:r>
        <w:rPr>
          <w:rFonts w:ascii="Times New Roman" w:hAnsi="Times New Roman"/>
          <w:sz w:val="24"/>
          <w:szCs w:val="24"/>
        </w:rPr>
        <w:t xml:space="preserve"> službenika i namještenika u Jedinstvenom</w:t>
      </w:r>
      <w:r w:rsidR="00A936E8">
        <w:rPr>
          <w:rFonts w:ascii="Times New Roman" w:hAnsi="Times New Roman"/>
          <w:sz w:val="24"/>
          <w:szCs w:val="24"/>
        </w:rPr>
        <w:t xml:space="preserve"> upravnom odjelu Općine </w:t>
      </w:r>
      <w:proofErr w:type="spellStart"/>
      <w:r w:rsidR="00A936E8">
        <w:rPr>
          <w:rFonts w:ascii="Times New Roman" w:hAnsi="Times New Roman"/>
          <w:sz w:val="24"/>
          <w:szCs w:val="24"/>
        </w:rPr>
        <w:t>Punitovci</w:t>
      </w:r>
      <w:proofErr w:type="spellEnd"/>
      <w:r w:rsidR="00CA3923">
        <w:rPr>
          <w:rFonts w:ascii="Times New Roman" w:hAnsi="Times New Roman"/>
          <w:sz w:val="24"/>
          <w:szCs w:val="24"/>
        </w:rPr>
        <w:t xml:space="preserve"> Klasa:024-02/22-01/6, Urbroj:2158-33-01-22-3 od 27. travnja 2022. godine</w:t>
      </w:r>
      <w:r>
        <w:rPr>
          <w:rFonts w:ascii="Times New Roman" w:hAnsi="Times New Roman"/>
          <w:sz w:val="24"/>
          <w:szCs w:val="24"/>
        </w:rPr>
        <w:t xml:space="preserve"> za radno mj</w:t>
      </w:r>
      <w:r w:rsidR="001359A5">
        <w:rPr>
          <w:rFonts w:ascii="Times New Roman" w:hAnsi="Times New Roman"/>
          <w:sz w:val="24"/>
          <w:szCs w:val="24"/>
        </w:rPr>
        <w:t xml:space="preserve">esto </w:t>
      </w:r>
      <w:r w:rsidR="00AA28C3" w:rsidRPr="00A72F68">
        <w:rPr>
          <w:rFonts w:ascii="Times New Roman" w:hAnsi="Times New Roman"/>
          <w:sz w:val="24"/>
          <w:szCs w:val="24"/>
        </w:rPr>
        <w:t>pročelnik</w:t>
      </w:r>
      <w:r w:rsidR="00CA3923">
        <w:rPr>
          <w:rFonts w:ascii="Times New Roman" w:hAnsi="Times New Roman"/>
          <w:sz w:val="24"/>
          <w:szCs w:val="24"/>
        </w:rPr>
        <w:t xml:space="preserve">a </w:t>
      </w:r>
      <w:r w:rsidR="00232C66" w:rsidRPr="00A72F68">
        <w:rPr>
          <w:rFonts w:ascii="Times New Roman" w:hAnsi="Times New Roman"/>
          <w:sz w:val="24"/>
          <w:szCs w:val="24"/>
        </w:rPr>
        <w:t>propisan je koef</w:t>
      </w:r>
      <w:r w:rsidR="00CA3923">
        <w:rPr>
          <w:rFonts w:ascii="Times New Roman" w:hAnsi="Times New Roman"/>
          <w:sz w:val="24"/>
          <w:szCs w:val="24"/>
        </w:rPr>
        <w:t>icijent 1,90</w:t>
      </w:r>
      <w:r w:rsidRPr="00A72F68">
        <w:rPr>
          <w:rFonts w:ascii="Times New Roman" w:hAnsi="Times New Roman"/>
          <w:sz w:val="24"/>
          <w:szCs w:val="24"/>
        </w:rPr>
        <w:t>, dok je osn</w:t>
      </w:r>
      <w:r w:rsidR="00A72F68" w:rsidRPr="00A72F68">
        <w:rPr>
          <w:rFonts w:ascii="Times New Roman" w:hAnsi="Times New Roman"/>
          <w:sz w:val="24"/>
          <w:szCs w:val="24"/>
        </w:rPr>
        <w:t>ovica utvrđena Odlukom općinske načelnice</w:t>
      </w:r>
      <w:r w:rsidR="00A72F68">
        <w:rPr>
          <w:rFonts w:ascii="Times New Roman" w:hAnsi="Times New Roman"/>
          <w:sz w:val="24"/>
          <w:szCs w:val="24"/>
        </w:rPr>
        <w:t xml:space="preserve"> Općine </w:t>
      </w:r>
      <w:proofErr w:type="spellStart"/>
      <w:r w:rsidR="00A72F68">
        <w:rPr>
          <w:rFonts w:ascii="Times New Roman" w:hAnsi="Times New Roman"/>
          <w:sz w:val="24"/>
          <w:szCs w:val="24"/>
        </w:rPr>
        <w:t>Punitovci</w:t>
      </w:r>
      <w:proofErr w:type="spellEnd"/>
      <w:r w:rsidR="00102DE7">
        <w:rPr>
          <w:rFonts w:ascii="Times New Roman" w:hAnsi="Times New Roman"/>
          <w:sz w:val="24"/>
          <w:szCs w:val="24"/>
        </w:rPr>
        <w:t xml:space="preserve"> Klasa:024-01/22-01/5, Urbroj:2158-33-02-22-1 od 14. ožujka 2022. godine  i iznosi 5.108,84</w:t>
      </w:r>
      <w:r w:rsidRPr="00A72F68">
        <w:rPr>
          <w:rFonts w:ascii="Times New Roman" w:hAnsi="Times New Roman"/>
          <w:sz w:val="24"/>
          <w:szCs w:val="24"/>
        </w:rPr>
        <w:t xml:space="preserve"> kuna (bruto).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Način obavljanja prethodne provjere znanja i sposobnosti kandidata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kandidate prijavljene na oglas koji su podnijeli pravodobnu i urednu prijavu te ispunjavaju formalne uvjete provest će se prethodna provjera znanja i sposobnosti.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oglas.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znanja i sposobnosti se sastoji od pisanog testiranja. Test sadrži 20 pitanja. Za svaki točan odgovor kandidatu se dodjeljuje 0,5 boda.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Maksimalan broj bodova koji kandidati mogu ostvariti je 10 bodova. Smatra se da su kandidati položili provjeru znanja ukoliko su ostvarili najmanje 50% bodova (5 i više bodova), i s takvim kandidatima će Povjerenstvo za provedbu oglasa provesti intervju.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oglasa kroz razgovor s kandidatima prilikom intervjua utvrđuje interese, profesionalne ciljeve i motivaciju kandidata za rad na navedenom radnom mjestu. Maksimalan broj bodova koji kandidati mogu ostvariti na intervjuu je 5 bodova.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rezultatima testiranja i vremenu održavanja intervjua kandidati će biti obaviješteni.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A936E8">
      <w:pPr>
        <w:ind w:firstLine="708"/>
        <w:jc w:val="both"/>
      </w:pPr>
      <w:r>
        <w:rPr>
          <w:spacing w:val="1"/>
          <w:position w:val="-1"/>
        </w:rPr>
        <w:t>N</w:t>
      </w:r>
      <w:r>
        <w:rPr>
          <w:position w:val="-1"/>
        </w:rPr>
        <w:t>ak</w:t>
      </w:r>
      <w:r>
        <w:rPr>
          <w:spacing w:val="-2"/>
          <w:position w:val="-1"/>
        </w:rPr>
        <w:t>o</w:t>
      </w:r>
      <w:r>
        <w:rPr>
          <w:position w:val="-1"/>
        </w:rPr>
        <w:t>n</w:t>
      </w:r>
      <w:r w:rsidR="00102DE7">
        <w:rPr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</w:t>
      </w:r>
      <w:r>
        <w:rPr>
          <w:position w:val="-1"/>
        </w:rPr>
        <w:t>ovedene</w:t>
      </w:r>
      <w:r w:rsidR="00102DE7">
        <w:rPr>
          <w:position w:val="-1"/>
        </w:rPr>
        <w:t xml:space="preserve"> </w:t>
      </w:r>
      <w:r>
        <w:t xml:space="preserve">prethodne provjere znanja i sposobnosti </w:t>
      </w:r>
      <w:r>
        <w:rPr>
          <w:spacing w:val="-1"/>
        </w:rPr>
        <w:t>u</w:t>
      </w:r>
      <w:r>
        <w:rPr>
          <w:spacing w:val="1"/>
        </w:rPr>
        <w:t>t</w:t>
      </w:r>
      <w:r>
        <w:t>vrđu</w:t>
      </w:r>
      <w:r>
        <w:rPr>
          <w:spacing w:val="-2"/>
        </w:rPr>
        <w:t>j</w:t>
      </w:r>
      <w:r>
        <w:t>e</w:t>
      </w:r>
      <w:r w:rsidR="00102DE7">
        <w:t xml:space="preserve"> </w:t>
      </w:r>
      <w:r>
        <w:t>se</w:t>
      </w:r>
      <w:r w:rsidR="00102DE7">
        <w:t xml:space="preserve"> </w:t>
      </w:r>
      <w:r>
        <w:t>ra</w:t>
      </w:r>
      <w:r>
        <w:rPr>
          <w:spacing w:val="-1"/>
        </w:rPr>
        <w:t>n</w:t>
      </w:r>
      <w:r>
        <w:t>g</w:t>
      </w:r>
      <w:r w:rsidR="00102DE7">
        <w:t xml:space="preserve"> </w:t>
      </w:r>
      <w:r>
        <w:rPr>
          <w:spacing w:val="2"/>
          <w:position w:val="-1"/>
        </w:rPr>
        <w:t>l</w:t>
      </w:r>
      <w:r>
        <w:rPr>
          <w:position w:val="-1"/>
        </w:rPr>
        <w:t>i</w:t>
      </w:r>
      <w:r>
        <w:rPr>
          <w:spacing w:val="-1"/>
          <w:position w:val="-1"/>
        </w:rPr>
        <w:t>st</w:t>
      </w:r>
      <w:r>
        <w:rPr>
          <w:position w:val="-1"/>
        </w:rPr>
        <w:t>a</w:t>
      </w:r>
      <w:r w:rsidR="00102DE7">
        <w:rPr>
          <w:position w:val="-1"/>
        </w:rPr>
        <w:t xml:space="preserve"> </w:t>
      </w:r>
      <w:r>
        <w:rPr>
          <w:position w:val="-1"/>
        </w:rPr>
        <w:t>ka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1"/>
          <w:position w:val="-1"/>
        </w:rPr>
        <w:t>i</w:t>
      </w:r>
      <w:r>
        <w:rPr>
          <w:position w:val="-1"/>
        </w:rPr>
        <w:t>d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a</w:t>
      </w:r>
      <w:r w:rsidR="00102DE7">
        <w:rPr>
          <w:position w:val="-1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ema </w:t>
      </w:r>
      <w:r>
        <w:rPr>
          <w:spacing w:val="1"/>
        </w:rPr>
        <w:t>u</w:t>
      </w:r>
      <w:r>
        <w:t>k</w:t>
      </w:r>
      <w:r>
        <w:rPr>
          <w:spacing w:val="-1"/>
        </w:rPr>
        <w:t>u</w:t>
      </w:r>
      <w:r>
        <w:t>pnom</w:t>
      </w:r>
      <w:r w:rsidR="00102DE7">
        <w:t xml:space="preserve"> </w:t>
      </w:r>
      <w:r>
        <w:t>b</w:t>
      </w:r>
      <w:r>
        <w:rPr>
          <w:spacing w:val="-1"/>
        </w:rPr>
        <w:t>r</w:t>
      </w:r>
      <w:r>
        <w:t>oju b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rPr>
          <w:spacing w:val="2"/>
        </w:rPr>
        <w:t>v</w:t>
      </w:r>
      <w:r>
        <w:t>a</w:t>
      </w:r>
      <w:r w:rsidR="00102DE7"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varenih </w:t>
      </w:r>
      <w:r>
        <w:rPr>
          <w:spacing w:val="1"/>
        </w:rPr>
        <w:t>n</w:t>
      </w:r>
      <w:r>
        <w:t xml:space="preserve">a pisanom 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ira</w:t>
      </w:r>
      <w:r>
        <w:rPr>
          <w:spacing w:val="1"/>
        </w:rPr>
        <w:t>n</w:t>
      </w:r>
      <w:r>
        <w:t>ju i 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vj</w:t>
      </w:r>
      <w:r>
        <w:rPr>
          <w:spacing w:val="1"/>
        </w:rPr>
        <w:t>u</w:t>
      </w:r>
      <w:r>
        <w:rPr>
          <w:spacing w:val="-1"/>
        </w:rPr>
        <w:t>u</w:t>
      </w:r>
      <w:r>
        <w:t>.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Područje testiranja te pravni i drugi izvori za pripremanje kandidata za testiranje: </w:t>
      </w:r>
    </w:p>
    <w:p w:rsidR="002D3D1C" w:rsidRPr="00A72F68" w:rsidRDefault="002D3D1C" w:rsidP="002D3D1C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2F68">
        <w:t>Zakon o službenicima i namještenicima u lokalnoj i područnoj (regionalnoj samoupravi (NN br. 86/08, 61/11, 04/18, 112/19)</w:t>
      </w:r>
    </w:p>
    <w:p w:rsidR="004054DF" w:rsidRDefault="004054DF" w:rsidP="002D3D1C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2F68">
        <w:t>Zakon o lokalnoj i područnoj (regionalnoj) samoupravi (NN br. 33/01,60/01,129/05, 109/07, 125/08, 36/09, 150/11, 144/12, 19/13, 137/15, 123/17, 98/19 i 144/20</w:t>
      </w:r>
    </w:p>
    <w:p w:rsidR="00A72F68" w:rsidRPr="00A72F68" w:rsidRDefault="002606EA" w:rsidP="002D3D1C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>
        <w:t>Zakon o općem upravnom postupku ( NN br. 47/09</w:t>
      </w:r>
      <w:r w:rsidR="00102DE7">
        <w:t xml:space="preserve"> i 110/21</w:t>
      </w:r>
      <w:r>
        <w:t>)</w:t>
      </w:r>
    </w:p>
    <w:p w:rsidR="002D3D1C" w:rsidRDefault="00A72F68" w:rsidP="002D3D1C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2F68">
        <w:t xml:space="preserve">Statut Općine </w:t>
      </w:r>
      <w:proofErr w:type="spellStart"/>
      <w:r w:rsidRPr="00A72F68">
        <w:t>Punitovci</w:t>
      </w:r>
      <w:proofErr w:type="spellEnd"/>
      <w:r w:rsidRPr="00A72F68">
        <w:t xml:space="preserve"> (Službeni glasnik Općine </w:t>
      </w:r>
      <w:proofErr w:type="spellStart"/>
      <w:r w:rsidRPr="00A72F68">
        <w:t>Punitovci</w:t>
      </w:r>
      <w:proofErr w:type="spellEnd"/>
      <w:r w:rsidRPr="00A72F68">
        <w:t xml:space="preserve"> br. 1/18 i 1/21</w:t>
      </w:r>
      <w:r w:rsidR="002D3D1C" w:rsidRPr="00A72F68">
        <w:t>)</w:t>
      </w:r>
    </w:p>
    <w:p w:rsidR="00A72F68" w:rsidRPr="00A72F68" w:rsidRDefault="00A72F68" w:rsidP="00A72F68">
      <w:pPr>
        <w:pStyle w:val="Odlomakpopisa"/>
        <w:autoSpaceDE w:val="0"/>
        <w:autoSpaceDN w:val="0"/>
        <w:adjustRightInd w:val="0"/>
        <w:jc w:val="both"/>
      </w:pPr>
    </w:p>
    <w:p w:rsidR="002D3D1C" w:rsidRDefault="002D3D1C" w:rsidP="004054DF">
      <w:pPr>
        <w:pStyle w:val="Odlomakpopisa"/>
        <w:autoSpaceDE w:val="0"/>
        <w:autoSpaceDN w:val="0"/>
        <w:adjustRightInd w:val="0"/>
        <w:jc w:val="both"/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Postupak testiranja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testiranje je potrebno donijeti osobnu iskaznicu ili drugu ispravu na kojoj se nalazi fotografija, sa kojom se dokazuje identitet osobe.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 koji nije pristupio testiranju povukao prijavu na oglas. </w:t>
      </w:r>
    </w:p>
    <w:p w:rsidR="002D3D1C" w:rsidRDefault="002606EA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trajanja testiranja – 6</w:t>
      </w:r>
      <w:r w:rsidR="002D3D1C">
        <w:rPr>
          <w:rFonts w:ascii="Times New Roman" w:hAnsi="Times New Roman"/>
          <w:sz w:val="24"/>
          <w:szCs w:val="24"/>
        </w:rPr>
        <w:t xml:space="preserve">0 minuta.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vrijeme testiranja nije dopušteno: </w:t>
      </w:r>
    </w:p>
    <w:p w:rsidR="002D3D1C" w:rsidRDefault="004554C2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D3D1C">
        <w:rPr>
          <w:rFonts w:ascii="Times New Roman" w:hAnsi="Times New Roman"/>
          <w:sz w:val="24"/>
          <w:szCs w:val="24"/>
        </w:rPr>
        <w:t xml:space="preserve">koristiti se bilo kakvom literaturom odnosno bilješkama, </w:t>
      </w:r>
    </w:p>
    <w:p w:rsidR="002D3D1C" w:rsidRDefault="004554C2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3D1C">
        <w:rPr>
          <w:rFonts w:ascii="Times New Roman" w:hAnsi="Times New Roman"/>
          <w:sz w:val="24"/>
          <w:szCs w:val="24"/>
        </w:rPr>
        <w:t xml:space="preserve">koristiti mobitel ili druga komunikacijska sredstva, </w:t>
      </w:r>
    </w:p>
    <w:p w:rsidR="002D3D1C" w:rsidRDefault="004554C2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3D1C">
        <w:rPr>
          <w:rFonts w:ascii="Times New Roman" w:hAnsi="Times New Roman"/>
          <w:sz w:val="24"/>
          <w:szCs w:val="24"/>
        </w:rPr>
        <w:t xml:space="preserve">napuštati prostoriju u kojoj se provjera odvija, </w:t>
      </w:r>
    </w:p>
    <w:p w:rsidR="002D3D1C" w:rsidRDefault="004554C2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3D1C">
        <w:rPr>
          <w:rFonts w:ascii="Times New Roman" w:hAnsi="Times New Roman"/>
          <w:sz w:val="24"/>
          <w:szCs w:val="24"/>
        </w:rPr>
        <w:t xml:space="preserve">razgovarati s ostalim kandidatima niti na bilo koji drugi način remetiti koncentraciju kandidata. </w:t>
      </w:r>
    </w:p>
    <w:p w:rsidR="002D3D1C" w:rsidRDefault="002D3D1C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održavanja prethodne provjere znanja i sposobnosti kandidata bit će objavljeno na interne</w:t>
      </w:r>
      <w:r w:rsidR="002606EA">
        <w:rPr>
          <w:rFonts w:ascii="Times New Roman" w:hAnsi="Times New Roman"/>
          <w:sz w:val="24"/>
          <w:szCs w:val="24"/>
        </w:rPr>
        <w:t xml:space="preserve">tskim stranicama Općine </w:t>
      </w:r>
      <w:proofErr w:type="spellStart"/>
      <w:r w:rsidR="002606EA">
        <w:rPr>
          <w:rFonts w:ascii="Times New Roman" w:hAnsi="Times New Roman"/>
          <w:sz w:val="24"/>
          <w:szCs w:val="24"/>
        </w:rPr>
        <w:t>Punitovci</w:t>
      </w:r>
      <w:proofErr w:type="spellEnd"/>
      <w:r w:rsidR="002606EA">
        <w:rPr>
          <w:rFonts w:ascii="Times New Roman" w:hAnsi="Times New Roman"/>
          <w:sz w:val="24"/>
          <w:szCs w:val="24"/>
        </w:rPr>
        <w:t xml:space="preserve"> www.punitovci</w:t>
      </w:r>
      <w:r>
        <w:rPr>
          <w:rFonts w:ascii="Times New Roman" w:hAnsi="Times New Roman"/>
          <w:sz w:val="24"/>
          <w:szCs w:val="24"/>
        </w:rPr>
        <w:t>.hr, te n</w:t>
      </w:r>
      <w:r w:rsidR="002606EA">
        <w:rPr>
          <w:rFonts w:ascii="Times New Roman" w:hAnsi="Times New Roman"/>
          <w:sz w:val="24"/>
          <w:szCs w:val="24"/>
        </w:rPr>
        <w:t xml:space="preserve">a oglasnoj ploči Općine </w:t>
      </w:r>
      <w:proofErr w:type="spellStart"/>
      <w:r w:rsidR="002606EA">
        <w:rPr>
          <w:rFonts w:ascii="Times New Roman" w:hAnsi="Times New Roman"/>
          <w:sz w:val="24"/>
          <w:szCs w:val="24"/>
        </w:rPr>
        <w:t>Punitovci</w:t>
      </w:r>
      <w:proofErr w:type="spellEnd"/>
      <w:r>
        <w:rPr>
          <w:rFonts w:ascii="Times New Roman" w:hAnsi="Times New Roman"/>
          <w:sz w:val="24"/>
          <w:szCs w:val="24"/>
        </w:rPr>
        <w:t xml:space="preserve">, najkasnije pet dana prije održavanja provjere. Kandidati koji ostvare pravo na pristupanje prethodnoj provjeri znanja i sposobnosti putem pisanog testiranja i intervjua o tome će biti obaviješteni na adresu elektroničke pošte koju su naveli u dokumentaciji predanoj na ovaj oglas. </w:t>
      </w:r>
    </w:p>
    <w:p w:rsidR="00232C66" w:rsidRDefault="00232C66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C66" w:rsidRDefault="00232C66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C66" w:rsidRDefault="00232C66" w:rsidP="002D3D1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D3D1C" w:rsidRDefault="002D3D1C" w:rsidP="002D3D1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2D3D1C" w:rsidRDefault="002D3D1C" w:rsidP="00102DE7">
      <w:pPr>
        <w:pStyle w:val="Bezproreda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 provedbu oglasa</w:t>
      </w:r>
    </w:p>
    <w:p w:rsidR="008310B9" w:rsidRDefault="008310B9"/>
    <w:sectPr w:rsidR="008310B9" w:rsidSect="00BA5F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3BD2"/>
    <w:multiLevelType w:val="hybridMultilevel"/>
    <w:tmpl w:val="F236B15A"/>
    <w:lvl w:ilvl="0" w:tplc="7A2EA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50672"/>
    <w:multiLevelType w:val="hybridMultilevel"/>
    <w:tmpl w:val="26284386"/>
    <w:lvl w:ilvl="0" w:tplc="9542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D1C"/>
    <w:rsid w:val="00053071"/>
    <w:rsid w:val="000C270F"/>
    <w:rsid w:val="000E0E4A"/>
    <w:rsid w:val="00102DE7"/>
    <w:rsid w:val="00116221"/>
    <w:rsid w:val="001359A5"/>
    <w:rsid w:val="002026C3"/>
    <w:rsid w:val="00210E0F"/>
    <w:rsid w:val="00232C66"/>
    <w:rsid w:val="002468AC"/>
    <w:rsid w:val="00246D01"/>
    <w:rsid w:val="002606EA"/>
    <w:rsid w:val="00260983"/>
    <w:rsid w:val="00271556"/>
    <w:rsid w:val="00282FC9"/>
    <w:rsid w:val="002D3D1C"/>
    <w:rsid w:val="00301B5F"/>
    <w:rsid w:val="00303C2C"/>
    <w:rsid w:val="003076EB"/>
    <w:rsid w:val="00346923"/>
    <w:rsid w:val="004054DF"/>
    <w:rsid w:val="004554C2"/>
    <w:rsid w:val="004C2977"/>
    <w:rsid w:val="00541D9A"/>
    <w:rsid w:val="00560906"/>
    <w:rsid w:val="00687E4E"/>
    <w:rsid w:val="006B35B3"/>
    <w:rsid w:val="0079642D"/>
    <w:rsid w:val="00803D72"/>
    <w:rsid w:val="008079FA"/>
    <w:rsid w:val="008310B9"/>
    <w:rsid w:val="00972B34"/>
    <w:rsid w:val="00995F59"/>
    <w:rsid w:val="00A066E7"/>
    <w:rsid w:val="00A72F68"/>
    <w:rsid w:val="00A936E8"/>
    <w:rsid w:val="00AA28C3"/>
    <w:rsid w:val="00BA5FD8"/>
    <w:rsid w:val="00C00EC3"/>
    <w:rsid w:val="00C55AC2"/>
    <w:rsid w:val="00CA3923"/>
    <w:rsid w:val="00D3719D"/>
    <w:rsid w:val="00D5629C"/>
    <w:rsid w:val="00D84177"/>
    <w:rsid w:val="00EC4176"/>
    <w:rsid w:val="00F7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4F53"/>
  <w15:docId w15:val="{5BB55D24-B108-46E7-ACE3-074D3BB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D3D1C"/>
    <w:rPr>
      <w:color w:val="0563C1"/>
      <w:u w:val="single"/>
    </w:rPr>
  </w:style>
  <w:style w:type="paragraph" w:styleId="Bezproreda">
    <w:name w:val="No Spacing"/>
    <w:uiPriority w:val="1"/>
    <w:qFormat/>
    <w:rsid w:val="002D3D1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D3D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3D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D1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8</cp:revision>
  <cp:lastPrinted>2021-06-30T10:33:00Z</cp:lastPrinted>
  <dcterms:created xsi:type="dcterms:W3CDTF">2023-01-23T01:31:00Z</dcterms:created>
  <dcterms:modified xsi:type="dcterms:W3CDTF">2023-01-23T12:10:00Z</dcterms:modified>
</cp:coreProperties>
</file>