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4b61a80df493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36799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PUNITOVCI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1.024.883,10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1.009.121,69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769.974,35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1.172.414,08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163.292,39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61.905,38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108.226,50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174.733,73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108.226,50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112.828,35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68.852,39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207.268,35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 I PRIMITAKA ostvaren u iznosu od 252.593,26 EURA odnosi se na nedostatak očekivanih pomoći iz drugih proračuna u provedbi projekata koji će se realizirati tijekom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310.110,03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358.322,91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ostvareni su u iznosu 358.322,91 eura, što je 15,5% više u odnosu na isto razdoblje  prethodne godine. Na rast prihoda od poreza u promatranom razdoblju najvećim djelom je utjecalo povećanje poreza na dohodak od nesamostalnog rada.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682.381,04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622.965,30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u odnosu na prošlo izvještajno razdoblje manje je za ukupno 59.415,74 eura, iz razloga što su se pojedini projekti završili.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imovine smanjen je zbog smanjenja prihoda od zakupa i iznajmljivanja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14.506,57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13.868,88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naknada, manji su u odnosu na prethodno izvještajno razdoblje za ukupno 945,94 eura,  a razlog je što je Općina Punitovci naplatila manje potraživanja koja ima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229.934,98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440.315,36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iznose 440.315,36 eura što je 91,5% više u odnosu na isto razdoblje prethodne godine, razlog povećanja je provedba projekta Zaželi u kojemu je zaposleno 24 žena te povećanja plaća službenika i namještenika.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189.333,64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301.966,81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iznose 301.966,81eura što je 59,5% više u odnosu na isto razdoblje prethodne godine, razlog tome je što je općina ulagala u održavanje javne rasvjete, nerazvrstane cesta, te održavanja poslovnih objekata. Rashodi za usluge tekućeg i investicijskog održavanja iznose 87.485,10 eura što je 43,2% više u odnosu na isto razdoblje prošle godine, što je rezultat ulaganje u održavanje  nerazvrstanih cesta i održavanje javne rasvjete. Rashodi za komunalne usluge iznose 31.050,08 eura što je 137,3% više u odnosu na isto razdoblje prethodne godine, što je rezultat potpisivanja Sporazuma o sufinanciranju troškova odlaganja otpada. Rashodi za intelektualne i osobne usluge iznose 74.517,50 eura što je 101,5% više u odnosu na isto razdoblje prethodne godine, što je rezultat izrada elaborata, izrada projekata, izrada prometnog elaborata Strossmayerova ulica Josipovac Punitovački, Izrada projektne dokumentacije - prateća zgrada NK Omladinac.
3299 – Ostali nespomenuti rashodi poslovanja iznose 27.863,59 eura što je 469,2% više u odnosu na isto razdoblje prethodne godine, što je rezultat provedba lokalnih izbora 2025.g.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rashodi na razini su prošlogodišnjih a odnose se na bankarske usluge i usluge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137.389,74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214.026,24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dane u inozemstvo i unutar općeg proračuna, odnose se na pomoći koje općina Punitovci daje Dječjim vrtićima i osnovnoj školi. Razlog uvećanja je  sufinanciranje cijene vrtića, sufinanciranje likovnih mapa i radnih materijala za 2025/2026 školsku godinu. Tekuće pomoći proračunskim korisnicima drugih proračuna iznose 13.758,44 eura što je 35,7% više u odnosu na isto razdoblje prethodne godine, a rezultat je Sufinanciranje radnih bilježnica učenicima 2025/2026 godina. Kapitalne pomoći proračunskim korisnicima drugih proračuna iznose 12.480,29 eura rezultat su sufinanciranja izgradnje nogostupa i uređenje kolnog ulaza Osnovna škola Josip Kozarac, Josipovac Punitovački.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26.889,06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39.111,85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na temelju osiguranja i druge naknade uvećane su za ukupno 12.222,79 eura u odnosu na isto razdoblje prethodne godine, a povećanje se odnosi na pomoć za novorođenčad iz Općine Punitovci.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184.418,93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174.989,30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donacije, kazne, naknade šteta i kapitalne pomoći manje su u odnosu na prethodno izvještajno razdoblje zbog smanjenih donacija neprofitnim organizacijama.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61.905,38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proizvedene dugotrajne imovine iznose 61.905,38 eura a odnose se na prihode od prodaje stambenih objekata u vlasništvu Općine Punitovci.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neproizvedene dugotrajne imovine odnose se na troškove projektne dokumentacije za višenamjensku zgradu Jurjevac Punitovački k.č. br.574/21.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108.226,50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169.577,48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proizvedene dugotrajne imovine znatno su veći u odnosu na prošlo izvještajno razdoblje, a odnosi se na projekt rekonstrukciju prometnice ulice sv. Josipa u Općini Punitovci.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Primici od financijske imovine i zaduživanja Općina Punitovci ima odobren minus po poslovnom računu u Zagrebačkoj banci, i ovo zaduženje u iznosu od 68.852,39 eura odnosi se na isto.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265.168,68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iznose 265.168,68 eura. Ispunjavanje dospjelih obveza otežano je zbog intenzivnog ulaganja u projekte "Adaptacija parkirališta i pristupne površine Dom Slovaka Josipovac Punitovački faza IV.", zatim "Rekonstrukcija prometnice Ul. Sv. Josipa", iste će biti podmirene u narednom razdoblju. Obveze do 60 dana  iznose 141.529,74 eura, od toga 68.852,39 eura odnosi se minus po poslovnom računu odobren u Zagrebačkoj banci, iznos 7.992,26 eura odnosi se sufinanciranje radnih materijala za školsku godinu 2025/2026. isti će biti podmiren u listopadu 2025. godine., Obveze od 61 do 180 dana  iznose 86.959,26 eura od toga iznos 30.450,00 eura odnosi se na održavanje nerazvrstanih cesta u Općini Punitovci isti će biti plaćen u narednom razdoblju, iznos od 50.848,26 eura odnosi se na projekt Izgradnje javne rasvjete u Općini Punitovci isti podmiren nakon završetka projekta. Obveze više od 360 dana u iznosu od 29.055,87 eura odnose se na dobavljača koji nije ispunio ugovorenu obvezu i zbog toga je odgođeno plaćanje.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0454c41704bb9" /></Relationships>
</file>