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503892c26cd44d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36799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PUNITOVCI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1.640.525,67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1.826.247,93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1.221.669,72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1.642.146,57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418.855,95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184.101,36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70.960,38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317.657,51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531.115,58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267.664,14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460.155,20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105.787,41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170.266,43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ostvaren je višak prihoda poslovanja koji je nastao temeljem uplate poreznih prihoda, te uplatama odobrenih sredstava iz državnog proračuna temeljem prijenosa EU sredstav. Manjak prihoda od nefinancijske imovine dijelom će se pokriti evidentiranjem obveznih financijskih korekcija.</w:t>
      </w:r>
    </w:p>
    <w:p>
      <w:r>
        <w:t xml:space="preserve">Ukupan rezultat na kraju proračunske godine daje manjak prihoda poslovanja 215.591,34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446.598,39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590.407,44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Prihodi od poreza viši u odnosu na isto izvještajno razdoblje  prethodne godine. Na rast prihoda od poreza u promatranom razdoblju najvećim djelom je utjecalo povećanje poreza na dohodak od nesamostalnog rada i izvršenog povrata poreza.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1.041.430,38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1.066.507,48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Pomoći iz inozemstva i od subjekata unutar općeg proračuna u odnosu na prošlo izvještajno razdoblje neznatno su veći zbog povećanja pomoći fiskalnog izravnanja i povećanja sredstava za fiskalnu održivost dječjih vrtića.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146.624,18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Prihod od imovine povećan je zbog povećanja prihoda od zakupa i iznajmljivanja imovine.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w:t>
            </w:r>
          </w:p>
        </w:tc>
      </w:tr>
    </w:tbl>
    <w:p>
      <w:pPr>
        <w:spacing w:before="0" w:after="0"/>
      </w:pPr>
    </w:p>
    <w:p>
      <w:r>
        <w:t xml:space="preserve">Prihodi od upravnih i administrativnih pristojbi, pristojbi po posebnim propisima i naknada, manji su u odnosu na prethodno izvještajno razdoblje za ukupno 8.959,95 eura,  a razlog je što je Općina Punitovci naplatila manje potraživanja za komunalne doprinose u 2025.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367.517,39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602.341,51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w:t>
            </w:r>
          </w:p>
        </w:tc>
      </w:tr>
    </w:tbl>
    <w:p>
      <w:pPr>
        <w:spacing w:before="0" w:after="0"/>
      </w:pPr>
    </w:p>
    <w:p>
      <w:r>
        <w:t xml:space="preserve">Rashodi za zaposlene iznose 234.824,12eura više u odnosu na isto izvještajno razdoblje prethodne godine, razlog povećanja je usklađenje osnovica sukladno Zakonu o javnim službenicima i namještenicima, te provedba projekta Zaželi u kojemu je zaposleno 24 žena čija je osnovna minimalna plaća povećana sukladno Zakonu o radu.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321.618,29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408.349,70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Materijalni rashodi u odnosu na isto razdoblje prethodne godine su veći za 86.731,41 eur, povećanje se većim dijelom odnosi na usluge tekućeg i investicijskog ulaganja u iznosu od 49.426,03 eura razlog tome je što je općina ulagala u održavanje javne rasvjete, nerazvrstane cesta, te održavanja poslovnih objekata . Povećani su rashodi za komunalne usluge koji iznose 14.584,06 eura što je rezultat potpisivanja Sporazuma o sufinanciranju troškova odlaganja otpada. Rashodi za intelektualne i osobne usluge su viši za 15.118,11 eura u odnosu na isto razdoblje prethodne godine, što je rezultat izrada elaborata, izrada projekata. Ostali nespomenuti rashodi poslovanja su viši u odnosu na isto razdoblje prethodne godine za 15.937,04 eura, što je rezultat provedba lokalnih izbora 2025.g.</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Financijski rashodi su viši u odnosu na isto izvještajno razdoblje prethodne godine  a odnose se na bankarske usluge i usluge platnog prometa.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228.765,63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317.190,11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w:t>
            </w:r>
          </w:p>
        </w:tc>
      </w:tr>
    </w:tbl>
    <w:p>
      <w:pPr>
        <w:spacing w:before="0" w:after="0"/>
      </w:pPr>
    </w:p>
    <w:p>
      <w:r>
        <w:t xml:space="preserve">Pomoći dane u inozemstvo i unutar općeg proračuna veće su u odnosu na isto izvještajno razdoblje prethodne godine u iznosu od 88.424,48 a odnose se na pomoći koje općina Punitovci daje Dječjim vrtićima i osnovnoj školi. Razlog uvećanja je  sufinanciranje cijene vrtića, sufinanciranje likovnih mapa i radnih materijala za 2025/2026 školsku godinu. Kapitalne pomoći proračunskim korisnicima drugih proračuna iznose 12.480,29 eura rezultat su sufinanciranja izgradnje nogostupa i uređenje kolnog ulaza Osnovna škola Josip Kozarac, Josipovac Punitovački.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bl>
    <w:p>
      <w:pPr>
        <w:spacing w:before="0" w:after="0"/>
      </w:pPr>
    </w:p>
    <w:p>
      <w:r>
        <w:t xml:space="preserve">Naknade građanima i kućanstvima na temelju osiguranja i druge naknade uvećane su za ukupno 20.601,15 eura u odnosu na isto izvještajno razdoblje prethodne godine, a povećanje se odnosi na pomoć za novorođenčad iz Općine Punitovci.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242.292,80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Rashodi za donacije, kazne, naknade šteta i kapitalne pomoći manje su u odnosu na prethodno izvještajno razdoblje zbog smanjenih kapitalnih donacija neprofitnim organizacijama.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70.960,38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prodaje proizvedene dugotrajne imovine su veće u odnosu na isto izvještajno razdoblje prethodne godine u iznosu 20.967,01 eura povećanje se odnosi na prihode od prodaje stambenih objekata u vlasništvu Općine Punitovci.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357,1</w:t>
            </w:r>
          </w:p>
        </w:tc>
      </w:tr>
    </w:tbl>
    <w:p>
      <w:pPr>
        <w:spacing w:before="0" w:after="0"/>
      </w:pPr>
    </w:p>
    <w:p>
      <w:r>
        <w:t xml:space="preserve">Rashodi za nabavu neproizvedene dugotrajne imovine odnose se na troškove projektne dokumentacije za višenamjensku zgradu Jurjevac Punitovački k.č. br.574/21.</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314.376,26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w:t>
            </w:r>
          </w:p>
        </w:tc>
      </w:tr>
    </w:tbl>
    <w:p>
      <w:pPr>
        <w:spacing w:before="0" w:after="0"/>
      </w:pPr>
    </w:p>
    <w:p>
      <w:r>
        <w:t xml:space="preserve">Rashodi za nabavu proizvedene dugotrajne imovine su veći u odnosu na prošlo izvještajno razdoblje u iznosu od 205.020,57 eura, a odnosi se na izgradnju mreže javne rasvjete u Josipovcu Punitovačkom, Puniotvcima, izgradnju ograde oko dječjeg vrtića.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105.787,41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Primici od financijske imovine i zaduživanja Općina Punitovci ima odobren minus po poslovnom računu u Zagrebačkoj banci, i ovo zaduženje u iznosu od 105.787.,41 eura odnosi se na isto.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251.639,02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251.639,02 eura. Ispunjavanje dospjelih obveza otežano je zbog intenzivnog ulaganja u projekte. Obveze do 60 dana  iznose 195.294,96 eura, od toga 105.787,41 eura odnosi se minus po poslovnom računu odobren u Zagrebačkoj banci, iznos 84.507,74 eura odnosi se na sustav izgradnja odvodnje Punitovci, Josipovac Punitovački. Iznos 1.604,81 odnosi se na polog jamčevine a iznos od 3.395,00 eura odnosi na dobavljače koji nisu ispunili ugovornu obvezu. Obveze od 61 do 180 dana  iznose 19.531,88 eura odnosi se na nadogradnja javne rasvjete u Punitovcima ulica S. Radića, isti će biti plaćen u narednom razdoblju. Obveze više od 360 dana u iznosu od 34.303,53 eura odnose se na dobavljače koji nisu ispunili ugovorenu obvezu i zbog toga je odgođeno plaćanje.</w:t>
      </w:r>
    </w:p>
    <w:p/>
    <w:p>
      <w:pPr>
        <w:jc w:val="center"/>
        <w:pStyle w:val="Normal"/>
        <w:spacing w:line="240" w:lineRule="auto"/>
        <w:keepNext/>
      </w:pPr>
      <w:r>
        <w:rPr>
          <w:sz w:val="28"/>
          <w:rFonts w:ascii="Times New Roman" w:hAnsi="Times New Roman"/>
        </w:rPr>
        <w:t xml:space="preserve">Bilješka 17.</w:t>
      </w:r>
    </w:p>
    <w:p>
      <w:pPr>
        <w:jc w:val="both"/>
        <w:pStyle w:val="Normal"/>
        <w:spacing w:line="240" w:lineRule="auto"/>
      </w:pPr>
      <w:r>
        <w:rPr>
          <w:b/>
          <w:sz w:val="24"/>
          <w:rFonts w:ascii="Times New Roman" w:hAnsi="Times New Roman"/>
        </w:rPr>
        <w:t xml:space="preserve">EU izvještaj</w:t>
      </w:r>
    </w:p>
    <w:p>
      <w:r>
        <w:t xml:space="preserve">Općina Punitovci u izvještajnom razdoblju imala je evidentirane prihode i rashode, te izvanbilančne stavke za evidentirane ugovore iz Europskog socijalnog fonda plus.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4fa87219cd84fa4" /></Relationships>
</file>