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e30a5bb0d544e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36799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PUNITOVCI</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803.540,35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830.717,46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534.175,41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905.363,26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74.645,80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61.905,38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56.201,88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169.558,01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301,7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56.201,88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107.652,63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191,5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2.779,75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PRIMITAKA OD FINANCIJSKE IMOVINE I ZADUŽIVANJA (šifre 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2.779,75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179.518,68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MANJAK PRIHODA I PRIMITAKA ostvaren u iznosu od 179.518,68 odnosi se na nedostatak očekivanih pomoći iz drugih proračuna u provedbi projekata koji će se realizirati tijekom 2025. godine</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803.540,35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830.717,46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103,4</w:t>
            </w:r>
          </w:p>
        </w:tc>
      </w:tr>
    </w:tbl>
    <w:p>
      <w:pPr>
        <w:spacing w:before="0" w:after="0"/>
      </w:pPr>
    </w:p>
    <w:p>
      <w:pPr>
        <w:jc w:val="both"/>
        <w:pStyle w:val="Normal"/>
        <w:spacing w:line="240" w:lineRule="auto"/>
      </w:pPr>
      <w:r>
        <w:rPr>
          <w:sz w:val="24"/>
          <w:rFonts w:ascii="Times New Roman" w:hAnsi="Times New Roman"/>
        </w:rPr>
        <w:t>Prihodi od poreza ukupno iznose 830.717,46 eura, od toga je prihod vrtića 49.432,52 eura, dok je općinski dio 781.284,94 eura. Povećanje u odnosu na prethodnu godinu iznosi 27.177,11 eura.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 inozemstva i od subjekata unutar općeg proračuna (šifre 631+632+633+634+635+636+637+638+639)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554.205,44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467.708,22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84,4</w:t>
            </w:r>
          </w:p>
        </w:tc>
      </w:tr>
    </w:tbl>
    <w:p>
      <w:pPr>
        <w:spacing w:before="0" w:after="0"/>
      </w:pPr>
    </w:p>
    <w:p>
      <w:pPr>
        <w:jc w:val="both"/>
        <w:pStyle w:val="Normal"/>
        <w:spacing w:line="240" w:lineRule="auto"/>
      </w:pPr>
      <w:r>
        <w:rPr>
          <w:sz w:val="24"/>
          <w:rFonts w:ascii="Times New Roman" w:hAnsi="Times New Roman"/>
        </w:rPr>
        <w:t>Pomoći iz inozemstva i od subjekata unutar općeg proračuna čini prihod od 467.708,22 eura i cijeli prihod se odnosi na prihod nadležnog proračuna. </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57.740,23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57.905,62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100,3</w:t>
            </w:r>
          </w:p>
        </w:tc>
      </w:tr>
    </w:tbl>
    <w:p>
      <w:pPr>
        <w:spacing w:before="0" w:after="0"/>
      </w:pPr>
    </w:p>
    <w:p>
      <w:pPr>
        <w:jc w:val="both"/>
        <w:pStyle w:val="Normal"/>
        <w:spacing w:line="240" w:lineRule="auto"/>
      </w:pPr>
      <w:r>
        <w:rPr>
          <w:sz w:val="24"/>
          <w:rFonts w:ascii="Times New Roman" w:hAnsi="Times New Roman"/>
        </w:rPr>
        <w:t>Prihodi od i administrativnih pristojbi, pristojbi po posebnim propisima i naknada čine ukupno 57.905,62 eura, prihod proračunskog korisnika iznosi 49.432,52 eura i odnosi se na prihod od roditelja koji sufinanciraju cijenu vrtića, zatim razlika od 8.473,10 eura odnosi se na prihod nadležnog proračuna.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218.635,34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441.483,38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201,9</w:t>
            </w:r>
          </w:p>
        </w:tc>
      </w:tr>
    </w:tbl>
    <w:p>
      <w:pPr>
        <w:spacing w:before="0" w:after="0"/>
      </w:pPr>
    </w:p>
    <w:p>
      <w:pPr>
        <w:jc w:val="both"/>
        <w:pStyle w:val="Normal"/>
        <w:spacing w:line="240" w:lineRule="auto"/>
      </w:pPr>
      <w:r>
        <w:rPr>
          <w:sz w:val="24"/>
          <w:rFonts w:ascii="Times New Roman" w:hAnsi="Times New Roman"/>
        </w:rPr>
        <w:t>Rashodi za zaposlene iznose ukupno 441.483,38 eura, iznos od 290.421,34 odnosi se na rashod nadležnog proračuna dok 151.062,04 eura odnosi se na rashode proračunskog korisnika Dječji vrtić Zvončica Punitovci. Značajna je razlika u odnosu na prethodnu godinu u kojoj smo ostvarili svega 218.635,34 eura, a razlika se odnosi na porast bruto plaća djelatnika proračunskog korisnika isto tako i zaposlenike nadležnog proračuna.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Materijalni rashodi (šifre 321+322+323+324+325+329)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165.357,16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283.735,64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171,6</w:t>
            </w:r>
          </w:p>
        </w:tc>
      </w:tr>
    </w:tbl>
    <w:p>
      <w:pPr>
        <w:spacing w:before="0" w:after="0"/>
      </w:pPr>
    </w:p>
    <w:p>
      <w:pPr>
        <w:jc w:val="both"/>
        <w:pStyle w:val="Normal"/>
        <w:spacing w:line="240" w:lineRule="auto"/>
      </w:pPr>
      <w:r>
        <w:rPr>
          <w:sz w:val="24"/>
          <w:rFonts w:ascii="Times New Roman" w:hAnsi="Times New Roman"/>
        </w:rPr>
        <w:t>Materijalni rashodi iznose ukupno 283.735,64 eura, iznos od 38.204,16 eura odnosi se na proračunskog korisnika, dok razlika u iznosu od 245.531,48 eura odnosi se na nadležan proračun. Značajna je razlika u odnosu na prethodno razdoblje i to u iznosu od 118.378,48 i razlog tome je opći rast cijena proizvoda i usluga na tržištu.</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Financijski rashodi (šifre 341+342+343)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1.822,75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1.659,32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91,0</w:t>
            </w:r>
          </w:p>
        </w:tc>
      </w:tr>
    </w:tbl>
    <w:p>
      <w:pPr>
        <w:spacing w:before="0" w:after="0"/>
      </w:pPr>
    </w:p>
    <w:p>
      <w:pPr>
        <w:jc w:val="both"/>
        <w:pStyle w:val="Normal"/>
        <w:spacing w:line="240" w:lineRule="auto"/>
      </w:pPr>
      <w:r>
        <w:rPr>
          <w:sz w:val="24"/>
          <w:rFonts w:ascii="Times New Roman" w:hAnsi="Times New Roman"/>
        </w:rPr>
        <w:t>Financijski rashodi iznose ukupno 1.659,32 eura, iznos od 434,30 eura odnosi se na rashod proračunskog korisnika i odnosi se na bankarske usluge, dok razlika od 1.225,02 eura odnosi se na rashod nadležnog proračuna i isto se radi o bankarskim uslugama.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dane u inozemstvo i unutar općeg proračuna (šifre 361+362+363+365+366+367+368+369)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318,52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10.305,00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3235,3</w:t>
            </w:r>
          </w:p>
        </w:tc>
      </w:tr>
    </w:tbl>
    <w:p>
      <w:pPr>
        <w:spacing w:before="0" w:after="0"/>
      </w:pPr>
    </w:p>
    <w:p>
      <w:pPr>
        <w:jc w:val="both"/>
        <w:pStyle w:val="Normal"/>
        <w:spacing w:line="240" w:lineRule="auto"/>
      </w:pPr>
      <w:r>
        <w:rPr>
          <w:sz w:val="24"/>
          <w:rFonts w:ascii="Times New Roman" w:hAnsi="Times New Roman"/>
        </w:rPr>
        <w:t>pomoći dane u inozemstvo i unutar općeg proračuna ostvarene u iznosu od 10.305,00 eura i rashod se odnosi na nadležan proračun odnosno na sufinanciranje osnovnih škola i dječjih vrtića koje nema u nadležnosti. </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na temelju osiguranja i druge naknade (šifre 371+372)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21.780,66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36.592,14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168,0</w:t>
            </w:r>
          </w:p>
        </w:tc>
      </w:tr>
    </w:tbl>
    <w:p>
      <w:pPr>
        <w:spacing w:before="0" w:after="0"/>
      </w:pPr>
    </w:p>
    <w:p>
      <w:pPr>
        <w:jc w:val="both"/>
        <w:pStyle w:val="Normal"/>
        <w:spacing w:line="240" w:lineRule="auto"/>
      </w:pPr>
      <w:r>
        <w:rPr>
          <w:sz w:val="24"/>
          <w:rFonts w:ascii="Times New Roman" w:hAnsi="Times New Roman"/>
        </w:rPr>
        <w:t>Naknade građanima i kućanstvima ostvarene u iznosu od 36.592,14 eura i odnose se na rashode nadležnog proračuna Općine Punitovci.</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donacije, kazne, naknade šteta i kapitalne pomoći (šifre 381+382+383+386)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126.260,98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131.587,78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104,2</w:t>
            </w:r>
          </w:p>
        </w:tc>
      </w:tr>
    </w:tbl>
    <w:p>
      <w:pPr>
        <w:spacing w:before="0" w:after="0"/>
      </w:pPr>
    </w:p>
    <w:p>
      <w:pPr>
        <w:jc w:val="both"/>
        <w:pStyle w:val="Normal"/>
        <w:spacing w:line="240" w:lineRule="auto"/>
      </w:pPr>
      <w:r>
        <w:rPr>
          <w:sz w:val="24"/>
          <w:rFonts w:ascii="Times New Roman" w:hAnsi="Times New Roman"/>
        </w:rPr>
        <w:t>Rashodi za donacije – ostvarene u iznosu od 131.587,78 eura i odnose se isključivo na rashode nadležnog proračuna odnosno na donacije koje je općina dodijelila.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56.201,88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164.401,76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292,5</w:t>
            </w:r>
          </w:p>
        </w:tc>
      </w:tr>
    </w:tbl>
    <w:p>
      <w:pPr>
        <w:spacing w:before="0" w:after="0"/>
      </w:pPr>
    </w:p>
    <w:p>
      <w:pPr>
        <w:jc w:val="both"/>
        <w:pStyle w:val="Normal"/>
        <w:spacing w:line="240" w:lineRule="auto"/>
      </w:pPr>
      <w:r>
        <w:rPr>
          <w:sz w:val="24"/>
          <w:rFonts w:ascii="Times New Roman" w:hAnsi="Times New Roman"/>
        </w:rPr>
        <w:t>Rashodi za nabavu proizvedene dugotrajne imovine – ostvarene u iznosu od 164.401,76 eura, iznos od 2.267,61 eura odnosi se na rashod proračunskog korisnika odnosno na nabavu video nadzora za dječji vrtić, dok sva razlika u iznosu od 162.134,15 eura odnosi se na rashode nadležnog proračuna odnosno na projekt rekonstrukciju prometnice ulice sv. Josipa u Općini Punitovci.</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57.758,55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ostvarene u iznosu od 57.758,55 eura odnose se na nadležan proračun u cijelosti. Ispunjavanje dospjelih obveza kod nadležnog proračuna otežano je zbog intenzivnog ulaganja u projekte "Adaptacija parkirališta i pristupne površine Dom Slovaka Josipovac Punitovački faza IV.", zatim "Rekonstrukcija prometnice Ul. Sv. Josipa". Iste će biti podmirene u narednom periodu.
</w:t>
      </w:r>
    </w:p>
    <w:p/>
    <w:p>
      <w:pPr>
        <w:jc w:val="center"/>
        <w:pStyle w:val="Normal"/>
        <w:spacing w:line="240" w:lineRule="auto"/>
        <w:keepNext/>
      </w:pPr>
      <w:r>
        <w:rPr>
          <w:sz w:val="28"/>
          <w:rFonts w:ascii="Times New Roman" w:hAnsi="Times New Roman"/>
        </w:rPr>
        <w:t>Bilješka 13.</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Unutargrupne transakcije koje su eliminirane na polugodišnjem izvještaju jesu:
-kod nadležnog proračuna konto 367- 116.851,05 eura
-kod proračunskog korisnika konto 67 - 116.851,05 eura</w:t>
      </w:r>
    </w:p>
    <w:p/>
    <w:p>
      <w:pPr>
        <w:jc w:val="center"/>
        <w:pStyle w:val="Normal"/>
        <w:spacing w:line="240" w:lineRule="auto"/>
        <w:keepNext/>
      </w:pPr>
      <w:r>
        <w:rPr>
          <w:sz w:val="28"/>
          <w:rFonts w:ascii="Times New Roman" w:hAnsi="Times New Roman"/>
        </w:rPr>
        <w:t>Bilješka 14.</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Na polugodišnjem izvještaji proračunski korisnik Dječji vrtić Zvončica ostvario je manjak prihoda poslovanja u iznosu od 23.323,87 eura.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3555781213fa4ac9" /></Relationships>
</file>