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3e05fc3ba0947f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36799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PUNITOVCI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1.735.868,18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1.923.157,59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1.314.533,86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1.737.750,21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421.334,32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185.407,38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49.993,37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70.960,38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318.011,13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533.383,19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268.017,76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462.422,81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105.787,41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24.999,99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105.787,41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171.228,02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MANJAK PRIHODA I PRIMITAKA ostvaren u iznosu od 171.228,02 odnosi se na nedostatak očekivanih pomoći iz drugih proračuna u provedbi projekata koji će se realizirati tijekom 2026.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1.735.868,18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1.923.157,59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w:t>
            </w:r>
          </w:p>
        </w:tc>
      </w:tr>
    </w:tbl>
    <w:p>
      <w:pPr>
        <w:spacing w:before="0" w:after="0"/>
      </w:pPr>
    </w:p>
    <w:p>
      <w:r>
        <w:t xml:space="preserve">Prihodi od poreza ukupno iznose 1.923.157,59 eura, od toga je prihod vrtića 96.909,66 eura, dok je općinski dio 1.826.247,93 eura. Povećanje u odnosu na prethodnu godinu iznosi 187.289,41 eura.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1.041.430,38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1.067.079,48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w:t>
            </w:r>
          </w:p>
        </w:tc>
      </w:tr>
    </w:tbl>
    <w:p>
      <w:pPr>
        <w:spacing w:before="0" w:after="0"/>
      </w:pPr>
    </w:p>
    <w:p>
      <w:r>
        <w:t xml:space="preserve">Pomoći iz inozemstva i od subjekata unutar općeg proračuna čini prihod od 396.362,18 eura i cijeli prihod se odnosi na prihod nadležnog proračuna.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127.011,26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119.046,49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w:t>
            </w:r>
          </w:p>
        </w:tc>
      </w:tr>
    </w:tbl>
    <w:p>
      <w:pPr>
        <w:spacing w:before="0" w:after="0"/>
      </w:pPr>
    </w:p>
    <w:p>
      <w:r>
        <w:t xml:space="preserve">Prihodi od i administrativnih pristojbi, pristojbi po posebnim propisima i naknada čine ukupno 119.046,49 eura, prihod proračunskog korisnika iznosi 96.909,66 eura i odnosi se na prihod od roditelja koji sufinanciraju cijenu vrtića, zatim razlika od 22.138,33 eura odnosi se na prihod nadležnog proračuna.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611.649,21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912.325,33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149,2</w:t>
            </w:r>
          </w:p>
        </w:tc>
      </w:tr>
    </w:tbl>
    <w:p>
      <w:pPr>
        <w:spacing w:before="0" w:after="0"/>
      </w:pPr>
    </w:p>
    <w:p>
      <w:r>
        <w:t xml:space="preserve">Rashodi za zaposlene iznose ukupno 912.325,33 eura, iznos od 602.341,51 odnosi se na rashod nadležnog proračuna dok 309.983,82 eura odnosi se na rashode proračunskog korisnika Dječji vrtić Zvončica Punitovci. Značajna je razlika u odnosu na prethodnu godinu u razlog povećanja se odnosi na porast bruto plaća djelatnika proračunskog korisnika isto tako i zaposlenike nadležnog proračuna.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384.706,29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481.017,34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w:t>
            </w:r>
          </w:p>
        </w:tc>
      </w:tr>
    </w:tbl>
    <w:p>
      <w:pPr>
        <w:spacing w:before="0" w:after="0"/>
      </w:pPr>
    </w:p>
    <w:p>
      <w:r>
        <w:t xml:space="preserve">Materijalni rashodi iznose ukupno 481.017,34 eura, iznos od 72.667,64 eura odnosi se na proračunskog korisnika, dok razlika u iznosu od 408.349,70 eura odnosi se na nadležan proračun. Značajna je razlika u odnosu na prethodno razdoblje i to u iznosu od 96.311,05 i razlog tome je opći rast cijena proizvoda i usluga na tržištu.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w:t>
            </w:r>
          </w:p>
        </w:tc>
      </w:tr>
    </w:tbl>
    <w:p>
      <w:pPr>
        <w:spacing w:before="0" w:after="0"/>
      </w:pPr>
    </w:p>
    <w:p>
      <w:r>
        <w:t xml:space="preserve">Financijski rashodi iznose ukupno 4.204,31 eura, iznos od 951,56 eura odnosi se na rashod proračunskog korisnika i odnosi se na bankarske usluge, dok razlika od 3.252,75 eura odnosi se na rashod nadležnog proračuna i isto se radi o bankarskim uslugama.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29.190,73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212,8</w:t>
            </w:r>
          </w:p>
        </w:tc>
      </w:tr>
    </w:tbl>
    <w:p>
      <w:pPr>
        <w:spacing w:before="0" w:after="0"/>
      </w:pPr>
    </w:p>
    <w:p>
      <w:r>
        <w:t xml:space="preserve">Pomoći dane u inozemstvo i unutar općeg proračuna ostvarene u iznosu od 29.190,73 eura i rashod se odnosi na nadležan proračun odnosno na sufinanciranje osnovnih škola i dječjih vrtića koje nema u nadležnosti.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79.493,37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135,0</w:t>
            </w:r>
          </w:p>
        </w:tc>
      </w:tr>
    </w:tbl>
    <w:p>
      <w:pPr>
        <w:spacing w:before="0" w:after="0"/>
      </w:pPr>
    </w:p>
    <w:p>
      <w:r>
        <w:t xml:space="preserve">Naknade građanima i kućanstvima ostvarene u iznosu od 79.493,37 eura i odnose se na rashode nadležnog proračuna Općine Punitovci.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242.292,80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231.286,00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w:t>
            </w:r>
          </w:p>
        </w:tc>
      </w:tr>
    </w:tbl>
    <w:p>
      <w:pPr>
        <w:spacing w:before="0" w:after="0"/>
      </w:pPr>
    </w:p>
    <w:p>
      <w:r>
        <w:t xml:space="preserve">Rashodi za donacije – ostvarene u iznosu od 231.286,00 eura i odnose se isključivo na rashode nadležnog proračuna odnosno na donacije koje je općina dodijelila.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49.993,37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70.960,38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141,9</w:t>
            </w:r>
          </w:p>
        </w:tc>
      </w:tr>
    </w:tbl>
    <w:p>
      <w:pPr>
        <w:spacing w:before="0" w:after="0"/>
      </w:pPr>
    </w:p>
    <w:p>
      <w:r>
        <w:t xml:space="preserve">Prihodi od prodaje proizvedene dugotrajne imovine su veće u odnosu na izvještajno razdoblje prethodne godine u iznosu 20.967,01  eura povećanje se odnosi na prihode od prodaje stambenih objekata u vlasništvu Općine Punitovci.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314.729,88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521.664,44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165,7</w:t>
            </w:r>
          </w:p>
        </w:tc>
      </w:tr>
    </w:tbl>
    <w:p>
      <w:pPr>
        <w:spacing w:before="0" w:after="0"/>
      </w:pPr>
    </w:p>
    <w:p>
      <w:r>
        <w:t xml:space="preserve">Rashodi za nabavu proizvedene dugotrajne imovine – ostvarene u iznosu od 533.383,19 eura, iznos od 2.267,61 eura odnosi se na rashod proračunskog korisnika odnosno na nabavu video nadzora za dječji vrtić, dok sva razlika u iznosu od 531.115,58 eura a odnosi se na izgradnju mreže javne rasvjete u Josipovcu Punitovačkom, Puniotvcima, izgradnju ograde oko dječjeg vrtića.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252.597,87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iznose 252.597,87 eura.</w:t>
      </w:r>
    </w:p>
    <w:p>
      <w:r>
        <w:t xml:space="preserve">Obveze do 60 dana  iznose 196.247,30 eura, iznos od 859,80 eura odnosi se na proračunskog korisnika te na Hep Opskrbu isti će biti plaćen u siječnju 2026.g. Iznos od 105.787,41 eura odnosi se minus po poslovnom računu odobren u Zagrebačkoj banci, iznos 84.507,74 eura odnosi se na sustav izgradnja odvodnje Punitovci, Josipovac Punitovački. Iznos 1.604,81 odnosi se na polog jamčevine a iznos od 3.395,00 eura odnosi na dobavljače koji nisu ispunili ugovornu obvezu.</w:t>
      </w:r>
    </w:p>
    <w:p>
      <w:r>
        <w:t xml:space="preserve">Obveze od 61 do 180 dana  iznose 19.531,88 eura odnosi se na nadogradnja javne rasvjete u Punitovcima ulica S. Radića, isti će biti plaćen u narednom razdoblju.</w:t>
      </w:r>
    </w:p>
    <w:p>
      <w:r>
        <w:t xml:space="preserve">Obveze više od 360 dana u iznosu od 34.303,53 eura odnose se na dobavljače koji nisu ispunili ugovorenu obvezu i zbog toga je odgođeno plaćanje.</w:t>
      </w:r>
    </w:p>
    <w:p/>
    <w:p>
      <w:pPr>
        <w:jc w:val="center"/>
        <w:pStyle w:val="Normal"/>
        <w:spacing w:line="240" w:lineRule="auto"/>
        <w:keepNext/>
      </w:pPr>
      <w:r>
        <w:rPr>
          <w:sz w:val="28"/>
          <w:rFonts w:ascii="Times New Roman" w:hAnsi="Times New Roman"/>
        </w:rPr>
        <w:t xml:space="preserve">Bilješka 14.</w:t>
      </w:r>
    </w:p>
    <w:p>
      <w:pPr>
        <w:jc w:val="both"/>
        <w:pStyle w:val="Normal"/>
        <w:spacing w:line="240" w:lineRule="auto"/>
      </w:pPr>
      <w:r>
        <w:rPr>
          <w:b/>
          <w:sz w:val="24"/>
          <w:rFonts w:ascii="Times New Roman" w:hAnsi="Times New Roman"/>
        </w:rPr>
        <w:t xml:space="preserve">Unutargrupne transakcije koje su u izvještajima eliminirane</w:t>
      </w:r>
    </w:p>
    <w:p>
      <w:r>
        <w:t xml:space="preserve">Unutargrupne transakcije koje su eliminirane na godišnjem izvještaju jesu: -kod nadležnog proračuna konto 367- 288.571,38 eura -kod proračunskog korisnika konto 67 – 288.571,38 eura</w:t>
      </w:r>
    </w:p>
    <w:p/>
    <w:p>
      <w:pPr>
        <w:jc w:val="center"/>
        <w:pStyle w:val="Normal"/>
        <w:spacing w:line="240" w:lineRule="auto"/>
        <w:keepNext/>
      </w:pPr>
      <w:r>
        <w:rPr>
          <w:sz w:val="28"/>
          <w:rFonts w:ascii="Times New Roman" w:hAnsi="Times New Roman"/>
        </w:rPr>
        <w:t xml:space="preserve">Bilješka 15.</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Na godišnjem izvještaju proračunski korisnik Dječji vrtić Zvončica ostvario je višak prihoda poslovanja u iznosu od 1.399,08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85bef397359445b" /></Relationships>
</file>