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5e5f3f59566f4469"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36799</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OPĆINA PUNITOVCI</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22</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IX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1.009.121,69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1.336.166,27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132,4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1.172.414,08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1.033.452,43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88,1</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302.713,84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61.905,38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174.733,73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60.162,29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112.828,35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60.162,29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53,3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68.852,39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I PRIMITAKA (šifre X678-Y345)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242.551,55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bl>
    <w:p>
      <w:pPr>
        <w:spacing w:before="0" w:after="0"/>
      </w:pPr>
    </w:p>
    <w:p>
      <w:r>
        <w:t xml:space="preserve">U izvještajnom razdoblju ostvaren je višak prihoda poslovanja koji je nastao temeljem uplate poreznih prihoda, te uplatama odobrenih sredstava iz državnog proračuna temeljem prijenosa EU sredstav. Manjak prihoda od nefinancijske imovine  će se pokriti do kraja godine.</w:t>
      </w:r>
    </w:p>
    <w:p>
      <w:r>
        <w:t xml:space="preserve"> </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poreza (šifre 611+612+613+614+615+616)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358.322,91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501.253,92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139,9</w:t>
            </w:r>
          </w:p>
        </w:tc>
      </w:tr>
    </w:tbl>
    <w:p>
      <w:pPr>
        <w:spacing w:before="0" w:after="0"/>
      </w:pPr>
    </w:p>
    <w:p>
      <w:r>
        <w:t xml:space="preserve">Prihodi od poreza viši u odnosu na isto izvještajno razdoblje  prethodne godine. Na rast prihoda od poreza u promatranom razdoblju najvećim djelom je utjecalo povećanje poreza na dohodak od nesamostalnog rada i izvršenog povrata poreza.</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iz inozemstva i od subjekata unutar općeg proračuna (šifre 631+632+633+634+635+636+637+638+639)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622.965,30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789.373,47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126,7</w:t>
            </w:r>
          </w:p>
        </w:tc>
      </w:tr>
    </w:tbl>
    <w:p>
      <w:pPr>
        <w:spacing w:before="0" w:after="0"/>
      </w:pPr>
    </w:p>
    <w:p>
      <w:r>
        <w:t xml:space="preserve">Pomoći iz inozemstva i od subjekata unutar općeg proračuna u odnosu na prošlo izvještajno razdoblje  su veći zbog povećanja pomoći fiskalnog izravnanja i povećanja sredstava za fiskalnu održivost dječjih vrtića.</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imovine (šifre 641+642+643)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13.964,60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15.743,06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112,7</w:t>
            </w:r>
          </w:p>
        </w:tc>
      </w:tr>
    </w:tbl>
    <w:p>
      <w:pPr>
        <w:spacing w:before="0" w:after="0"/>
      </w:pPr>
    </w:p>
    <w:p>
      <w:r>
        <w:t xml:space="preserve">Prihod od imovine povećan je zbog povećanja prihoda od zakupa i iznajmljivanja imovine.</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upravnih i administrativnih pristojbi, pristojbi po posebnim propisima i naknada (šifre 651+652+653+654)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13.868,88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29.795,82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214,8</w:t>
            </w:r>
          </w:p>
        </w:tc>
      </w:tr>
    </w:tbl>
    <w:p>
      <w:pPr>
        <w:spacing w:before="0" w:after="0"/>
      </w:pPr>
    </w:p>
    <w:p>
      <w:r>
        <w:t xml:space="preserve">Prihodi od upravnih i administrativnih pristojbi, pristojbi po posebnim propisima i naknada, veći su u odnosu na prethodno izvještajno razdoblje ,  a razlog je što je Općina Punitovci naplatila više potraživanja za komunalne doprinose.</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zaposlene (šifre 311+312+313)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440.315,36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430.230,74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97,7</w:t>
            </w:r>
          </w:p>
        </w:tc>
      </w:tr>
    </w:tbl>
    <w:p>
      <w:pPr>
        <w:spacing w:before="0" w:after="0"/>
      </w:pPr>
    </w:p>
    <w:p>
      <w:r>
        <w:t xml:space="preserve">Rashodi za zaposlene iznose 430.230,74 eura manji su u odnosu na isto izvještajno razdoblje prethodne godine, razlog smanjenja jeodlazak na porodiljni djelatnice.</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Materijalni rashodi (šifre 321+322+323+324+325+329)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301.966,81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158.926,30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52,6</w:t>
            </w:r>
          </w:p>
        </w:tc>
      </w:tr>
    </w:tbl>
    <w:p>
      <w:pPr>
        <w:spacing w:before="0" w:after="0"/>
      </w:pPr>
    </w:p>
    <w:p>
      <w:r>
        <w:t xml:space="preserve">Materijalni rashodi u odnosu na isto razdoblje prethodne godine su značajno su manj zbog smanjenog ulaganja u ovome razdoblju. Za nastavak investicijskog ciklusa čeka se povrat sredstava za već odrađene projekte.</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Financijski rashodi (šifre 341+342+343)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2.004,52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4.398,06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219,4</w:t>
            </w:r>
          </w:p>
        </w:tc>
      </w:tr>
    </w:tbl>
    <w:p>
      <w:pPr>
        <w:spacing w:before="0" w:after="0"/>
      </w:pPr>
    </w:p>
    <w:p>
      <w:r>
        <w:t xml:space="preserve">Financijski rashodi su viši u odnosu na isto izvještajno razdoblje prethodne godine  a odnose se na bankarske usluge i usluge platnog prometakoji su povećani zbog ulaska u riznicu.</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dane u inozemstvo i unutar općeg proračuna (šifre 361+362+363+365+366+367+368+369)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214.026,24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245.237,05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114,6</w:t>
            </w:r>
          </w:p>
        </w:tc>
      </w:tr>
    </w:tbl>
    <w:p>
      <w:pPr>
        <w:spacing w:before="0" w:after="0"/>
      </w:pPr>
    </w:p>
    <w:p>
      <w:r>
        <w:t xml:space="preserve">Pomoći dane u inozemstvo i unutar općeg proračuna veće su u odnosu na isto izvještajno razdoblje prethodne godine u iznosu od 31.210,81eura, a odnose se na pomoći koje općina Punitovci daje Dječjim vrtićima i osnovnoj školi. Razlog uvećanja je  sufinanciranje cijene vrtića, sufinanciranje likovnih mapa i radnih materijala za 2026/2027 školsku godinu. </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građanima i kućanstvima na temelju osiguranja i druge naknade (šifre 371+372)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39.111,85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37.099,45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94,9</w:t>
            </w:r>
          </w:p>
        </w:tc>
      </w:tr>
    </w:tbl>
    <w:p>
      <w:pPr>
        <w:spacing w:before="0" w:after="0"/>
      </w:pPr>
    </w:p>
    <w:p>
      <w:r>
        <w:t xml:space="preserve">Naknade građanima i kućanstvima na temelju osiguranja i druge naknadeneznatno su smanjene zbog smanjenih potreba korisnika.</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donacije, kazne, naknade šteta i kapitalne pomoći (šifre 381+382+383+386)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174.989,30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157.560,83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90,0</w:t>
            </w:r>
          </w:p>
        </w:tc>
      </w:tr>
    </w:tbl>
    <w:p>
      <w:pPr>
        <w:spacing w:before="0" w:after="0"/>
      </w:pPr>
    </w:p>
    <w:p>
      <w:r>
        <w:t xml:space="preserve">Rashodi za donacije, kazne, naknade šteta i kapitalne pomoći manje su u odnosu na prethodno izvještajno razdoblje zbog smanjenih kapitalnih donacija neprofitnim organizacijama.</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proizvedene dugotrajne imovine (šifre 421+422+423+424+425+426)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169.577,48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60.162,29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35,5</w:t>
            </w:r>
          </w:p>
        </w:tc>
      </w:tr>
    </w:tbl>
    <w:p>
      <w:pPr>
        <w:spacing w:before="0" w:after="0"/>
      </w:pPr>
    </w:p>
    <w:p>
      <w:r>
        <w:t xml:space="preserve">Rashodi za nabavu proizvedene dugotrajne imovine su manji u odnosu na prošlo izvještajno razdoblje u iznosu budući je većina projekata odrađena u 2025 godini.</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20.507,07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Stanje dospjelih obveza vezano je za dogovore između općine i dobavljača koji nisu na odgovarajući način ispunili svoje ugovorne obveze, te se čeka ispunjenje istih kako bi obveze bile podmirene.</w:t>
      </w:r>
    </w:p>
    <w:p/>
    <w:p>
      <w:pPr>
        <w:jc w:val="center"/>
        <w:pStyle w:val="Normal"/>
        <w:spacing w:line="240" w:lineRule="auto"/>
        <w:keepNext/>
      </w:pPr>
      <w:r>
        <w:rPr>
          <w:sz w:val="28"/>
          <w:rFonts w:ascii="Times New Roman" w:hAnsi="Times New Roman"/>
        </w:rPr>
        <w:t xml:space="preserve">Bilješka 14.</w:t>
      </w:r>
    </w:p>
    <w:p>
      <w:pPr>
        <w:jc w:val="both"/>
        <w:pStyle w:val="Normal"/>
        <w:spacing w:line="240" w:lineRule="auto"/>
      </w:pPr>
      <w:r>
        <w:rPr>
          <w:b/>
          <w:sz w:val="24"/>
          <w:rFonts w:ascii="Times New Roman" w:hAnsi="Times New Roman"/>
        </w:rPr>
        <w:t xml:space="preserve">EU izvještaj</w:t>
      </w:r>
    </w:p>
    <w:p>
      <w:r>
        <w:t xml:space="preserve">Općina Punitovci koristi sredstva iz izvora 361 Europski socijalni fond plus za projekt Začeli faza 4. Projekt se uspješno privodi kraju i bit će završen do kraja godine.</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3cdbcddd89a7407e" /></Relationships>
</file>